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0444" w:rsidRPr="005C5E08" w:rsidRDefault="007B0444" w:rsidP="00EF69DF">
      <w:pPr>
        <w:pStyle w:val="berschrift1"/>
        <w:spacing w:before="0" w:after="0" w:line="276" w:lineRule="auto"/>
        <w:jc w:val="left"/>
      </w:pPr>
      <w:r w:rsidRPr="004C58A4">
        <w:t>WIRTGEN SP 62i : machine à coffrage glissant rentable en version deux trains de chenilles pour la pose de béton Inset</w:t>
      </w:r>
      <w:r>
        <w:t xml:space="preserve"> </w:t>
      </w:r>
    </w:p>
    <w:p w:rsidR="007B0444" w:rsidRPr="005C5E08" w:rsidRDefault="007B0444" w:rsidP="002E765F">
      <w:pPr>
        <w:pStyle w:val="Text"/>
      </w:pPr>
    </w:p>
    <w:p w:rsidR="007B0444" w:rsidRPr="003B5CBB" w:rsidRDefault="007B0444" w:rsidP="007658CA">
      <w:pPr>
        <w:pStyle w:val="Text"/>
        <w:spacing w:line="276" w:lineRule="auto"/>
        <w:rPr>
          <w:noProof/>
        </w:rPr>
      </w:pPr>
      <w:r>
        <w:rPr>
          <w:rStyle w:val="Hervorhebung"/>
        </w:rPr>
        <w:t>Lorsqu’il s’agit de poser des chaussées et des profils monolithiques en béton avec précision et rentabilité, les machines à coffrage glissant de WIRTGEN sont de la partie. De conception modulaire, elles peuvent être configurées individuellement et réaliser pratiquement tous les types de pose imaginables, y compris les formes spéciales.</w:t>
      </w:r>
    </w:p>
    <w:p w:rsidR="007B0444" w:rsidRPr="003B5CBB" w:rsidRDefault="007B0444" w:rsidP="00244981">
      <w:pPr>
        <w:pStyle w:val="Text"/>
        <w:spacing w:line="276" w:lineRule="auto"/>
        <w:rPr>
          <w:noProof/>
          <w:lang w:eastAsia="de-DE"/>
        </w:rPr>
      </w:pPr>
    </w:p>
    <w:p w:rsidR="007B0444" w:rsidRPr="003B5CBB" w:rsidRDefault="007B0444" w:rsidP="009F681B">
      <w:pPr>
        <w:pStyle w:val="Text"/>
        <w:spacing w:line="276" w:lineRule="auto"/>
        <w:rPr>
          <w:rStyle w:val="Hervorhebung"/>
        </w:rPr>
      </w:pPr>
      <w:r>
        <w:rPr>
          <w:rStyle w:val="Hervorhebung"/>
        </w:rPr>
        <w:t>La série SP 60 remplace le modèle à succès SP 500 pour la pose béton polyvalente</w:t>
      </w:r>
    </w:p>
    <w:p w:rsidR="007B0444" w:rsidRPr="00F46EC2" w:rsidRDefault="007B0444" w:rsidP="0014683F">
      <w:pPr>
        <w:pStyle w:val="Text"/>
        <w:spacing w:line="276" w:lineRule="auto"/>
        <w:rPr>
          <w:rStyle w:val="Hervorhebung"/>
          <w:b w:val="0"/>
          <w:vanish/>
          <w:specVanish/>
        </w:rPr>
      </w:pPr>
      <w:r>
        <w:rPr>
          <w:rStyle w:val="Hervorhebung"/>
          <w:b w:val="0"/>
        </w:rPr>
        <w:t>Pouvant être mises en œuvre aussi bien pour la pose Inset (entre les trains de chenilles) que pour la pose Offset (en déporté), les machines de la série SP 60 sont les nouveaux multitalents de la pose de bét</w:t>
      </w:r>
      <w:r w:rsidR="003D1469">
        <w:rPr>
          <w:rStyle w:val="Hervorhebung"/>
          <w:b w:val="0"/>
        </w:rPr>
        <w:t>on. Avec ses modèles SP 61i, SP </w:t>
      </w:r>
      <w:r>
        <w:rPr>
          <w:rStyle w:val="Hervorhebung"/>
          <w:b w:val="0"/>
        </w:rPr>
        <w:t xml:space="preserve">62i et SP 64i, WIRTGEN a développé une nouvelle </w:t>
      </w:r>
      <w:r w:rsidRPr="004C58A4">
        <w:rPr>
          <w:rStyle w:val="Hervorhebung"/>
          <w:b w:val="0"/>
        </w:rPr>
        <w:t>génération de machines à coffrage glissant qui offre la polyvalence du modèle à succès international SP 500 et qui, avec</w:t>
      </w:r>
      <w:r w:rsidR="00F46EC2" w:rsidRPr="004C58A4">
        <w:t xml:space="preserve"> la</w:t>
      </w:r>
      <w:r w:rsidRPr="004C58A4">
        <w:t xml:space="preserve"> SP 62i</w:t>
      </w:r>
      <w:r w:rsidRPr="004C58A4">
        <w:rPr>
          <w:rStyle w:val="Hervorhebung"/>
          <w:b w:val="0"/>
        </w:rPr>
        <w:t>, se trouve complétée par un deuxième engin à deux trains de chenilles. La SP 62i est un engin particulièrement rentable permettant d’accéder à la gamme moyenne des machines à coffrage glissant Inset jusqu’à une largeur de travail de 7,5 m (24 pieds).</w:t>
      </w:r>
    </w:p>
    <w:p w:rsidR="004C58A4" w:rsidRDefault="00F46EC2" w:rsidP="004C58A4">
      <w:pPr>
        <w:pStyle w:val="Text"/>
        <w:spacing w:line="276" w:lineRule="auto"/>
        <w:rPr>
          <w:rStyle w:val="Hervorhebung"/>
          <w:b w:val="0"/>
        </w:rPr>
      </w:pPr>
      <w:r>
        <w:rPr>
          <w:rStyle w:val="Hervorhebung"/>
          <w:b w:val="0"/>
        </w:rPr>
        <w:t xml:space="preserve"> </w:t>
      </w:r>
    </w:p>
    <w:p w:rsidR="004C58A4" w:rsidRDefault="004C58A4" w:rsidP="004C58A4">
      <w:pPr>
        <w:pStyle w:val="Text"/>
        <w:spacing w:line="276" w:lineRule="auto"/>
        <w:rPr>
          <w:rStyle w:val="Hervorhebung"/>
          <w:b w:val="0"/>
        </w:rPr>
      </w:pPr>
    </w:p>
    <w:p w:rsidR="007B0444" w:rsidRPr="004C58A4" w:rsidRDefault="007B0444" w:rsidP="004C58A4">
      <w:pPr>
        <w:pStyle w:val="Text"/>
        <w:spacing w:line="276" w:lineRule="auto"/>
        <w:rPr>
          <w:rFonts w:cs="Arial"/>
          <w:szCs w:val="22"/>
        </w:rPr>
      </w:pPr>
      <w:r w:rsidRPr="004C58A4">
        <w:rPr>
          <w:b/>
          <w:szCs w:val="22"/>
        </w:rPr>
        <w:t>SP 62i : engin d’entrée de gamme moyenne des machines à coffrage glissant Inset jusqu’à une largeur de travail de 7,5 m (24 pieds).</w:t>
      </w:r>
    </w:p>
    <w:p w:rsidR="007B0444" w:rsidRPr="003B5CBB" w:rsidRDefault="007B0444" w:rsidP="003B5CBB">
      <w:pPr>
        <w:spacing w:line="276" w:lineRule="auto"/>
        <w:contextualSpacing/>
        <w:jc w:val="both"/>
        <w:rPr>
          <w:rFonts w:cs="Arial"/>
          <w:sz w:val="22"/>
          <w:szCs w:val="22"/>
        </w:rPr>
      </w:pPr>
      <w:r w:rsidRPr="004C58A4">
        <w:rPr>
          <w:sz w:val="22"/>
          <w:szCs w:val="22"/>
        </w:rPr>
        <w:t>La SP 62i permet de poser avec précision des surfaces en béton entre 2,00 et 7,50 m de largeur (6 pieds, 6 pouces, et 24 pieds) et jusqu’à 450 mm d’épaisseur (18</w:t>
      </w:r>
      <w:r w:rsidR="00F46EC2" w:rsidRPr="004C58A4">
        <w:rPr>
          <w:sz w:val="22"/>
          <w:szCs w:val="22"/>
        </w:rPr>
        <w:t> </w:t>
      </w:r>
      <w:r w:rsidRPr="004C58A4">
        <w:rPr>
          <w:sz w:val="22"/>
          <w:szCs w:val="22"/>
        </w:rPr>
        <w:t>pouces) – et plus si le client le souhaite. Un système intelligent de direction et de commande est garant d’un fonctionnement en douceur même dans les virages serrés. Grâce à sa simplicité de transformation et d’extension au moyen d’options, la SP 62i s’adapte facilement aux différentes situations de chantier et peut être transformée sur place en toute rapidité. Son transport facile assure également une grande disponibilité sur le chantier.</w:t>
      </w:r>
    </w:p>
    <w:p w:rsidR="007B0444" w:rsidRPr="003B5CBB" w:rsidRDefault="007B0444" w:rsidP="003B5CBB">
      <w:pPr>
        <w:spacing w:line="276" w:lineRule="auto"/>
        <w:contextualSpacing/>
        <w:jc w:val="both"/>
        <w:rPr>
          <w:rFonts w:cs="Arial"/>
          <w:sz w:val="22"/>
          <w:szCs w:val="22"/>
        </w:rPr>
      </w:pPr>
    </w:p>
    <w:p w:rsidR="007B0444" w:rsidRPr="003B5CBB" w:rsidRDefault="007B0444" w:rsidP="003B5CBB">
      <w:pPr>
        <w:spacing w:line="276" w:lineRule="auto"/>
        <w:contextualSpacing/>
        <w:jc w:val="both"/>
        <w:rPr>
          <w:rFonts w:cs="Arial"/>
          <w:i/>
          <w:sz w:val="22"/>
          <w:szCs w:val="22"/>
        </w:rPr>
      </w:pPr>
      <w:r>
        <w:rPr>
          <w:i/>
          <w:sz w:val="22"/>
          <w:szCs w:val="22"/>
        </w:rPr>
        <w:t>Technologie moteur : une puissance accrue</w:t>
      </w:r>
    </w:p>
    <w:p w:rsidR="007B0444" w:rsidRPr="003B5CBB" w:rsidRDefault="007B0444" w:rsidP="003B5CBB">
      <w:pPr>
        <w:spacing w:line="276" w:lineRule="auto"/>
        <w:contextualSpacing/>
        <w:jc w:val="both"/>
        <w:rPr>
          <w:rFonts w:cs="Arial"/>
          <w:sz w:val="22"/>
          <w:szCs w:val="22"/>
        </w:rPr>
      </w:pPr>
      <w:r>
        <w:rPr>
          <w:sz w:val="22"/>
          <w:szCs w:val="22"/>
        </w:rPr>
        <w:t xml:space="preserve">Suite aux modifications apportées aux législations sur les gaz d’échappement, WIRTGEN a augmenté la motorisation des machines de la série </w:t>
      </w:r>
      <w:r w:rsidRPr="004C58A4">
        <w:rPr>
          <w:sz w:val="22"/>
          <w:szCs w:val="22"/>
        </w:rPr>
        <w:t>SP 62i. Ainsi, la machine est équipée d’un puissant moteur Deutz de 180 kW, conforme aux normes d’émission de l’Union européenne Phase 4 et des États-Unis Tier 4. Malgré cette augmentation de puissance moteur, l’adaptation automatique de la puissance moteur aux besoins du chantier grâce au mode ECO permet de réduire durablement la consommation de carburant.</w:t>
      </w:r>
    </w:p>
    <w:p w:rsidR="007B0444" w:rsidRPr="003B5CBB" w:rsidRDefault="007B0444" w:rsidP="003B5CBB">
      <w:pPr>
        <w:spacing w:line="276" w:lineRule="auto"/>
        <w:contextualSpacing/>
        <w:jc w:val="both"/>
        <w:rPr>
          <w:rFonts w:cs="Arial"/>
          <w:sz w:val="22"/>
          <w:szCs w:val="22"/>
        </w:rPr>
      </w:pPr>
    </w:p>
    <w:p w:rsidR="007B0444" w:rsidRPr="003B5CBB" w:rsidRDefault="007B0444" w:rsidP="003B5CBB">
      <w:pPr>
        <w:spacing w:line="276" w:lineRule="auto"/>
        <w:contextualSpacing/>
        <w:jc w:val="both"/>
        <w:rPr>
          <w:rFonts w:cs="Arial"/>
          <w:i/>
          <w:sz w:val="22"/>
          <w:szCs w:val="22"/>
        </w:rPr>
      </w:pPr>
      <w:r>
        <w:rPr>
          <w:i/>
          <w:sz w:val="22"/>
          <w:szCs w:val="22"/>
        </w:rPr>
        <w:lastRenderedPageBreak/>
        <w:t>Technologie hydraulique : un nouveau concept</w:t>
      </w:r>
    </w:p>
    <w:p w:rsidR="007B0444" w:rsidRDefault="007B0444" w:rsidP="003B5CBB">
      <w:pPr>
        <w:spacing w:line="276" w:lineRule="auto"/>
        <w:contextualSpacing/>
        <w:jc w:val="both"/>
        <w:rPr>
          <w:rFonts w:cs="Arial"/>
          <w:sz w:val="22"/>
          <w:szCs w:val="22"/>
        </w:rPr>
      </w:pPr>
      <w:r>
        <w:rPr>
          <w:sz w:val="22"/>
          <w:szCs w:val="22"/>
        </w:rPr>
        <w:t xml:space="preserve">Un grand nombre de fonctionnalités sont désormais pilotées par commande hydraulique. La nouvelle conception du système hydraulique apporte non seulement une </w:t>
      </w:r>
      <w:r w:rsidRPr="004C58A4">
        <w:rPr>
          <w:sz w:val="22"/>
          <w:szCs w:val="22"/>
        </w:rPr>
        <w:t>meilleure efficacité énergétique,</w:t>
      </w:r>
      <w:r>
        <w:rPr>
          <w:sz w:val="22"/>
          <w:szCs w:val="22"/>
        </w:rPr>
        <w:t xml:space="preserve"> mais permet également d’alimenter en énergie de nouveaux équipements supplémentaires en option. Selon les exigences du client, la machine peut être équipée de vibreurs à entraînement hydraulique ou électrique. En version standard, elle dispose de 12 raccords hydrauliques (18 en option), ou de 18 ou 24 raccords électriques en option. Autre exemple, les inserteurs de barres de liaison latérales individuels à commande hydraulique peuvent être montés à gauche, à droite ou bien des deux côtés.</w:t>
      </w:r>
    </w:p>
    <w:p w:rsidR="007B0444" w:rsidRPr="003B5CBB" w:rsidRDefault="007B0444" w:rsidP="003B5CBB">
      <w:pPr>
        <w:spacing w:line="276" w:lineRule="auto"/>
        <w:contextualSpacing/>
        <w:jc w:val="both"/>
        <w:rPr>
          <w:rFonts w:cs="Arial"/>
          <w:sz w:val="22"/>
          <w:szCs w:val="22"/>
        </w:rPr>
      </w:pPr>
    </w:p>
    <w:p w:rsidR="007B0444" w:rsidRPr="003B5CBB" w:rsidRDefault="007B0444" w:rsidP="003B5CBB">
      <w:pPr>
        <w:spacing w:line="276" w:lineRule="auto"/>
        <w:contextualSpacing/>
        <w:jc w:val="both"/>
        <w:rPr>
          <w:rFonts w:cs="Arial"/>
          <w:sz w:val="22"/>
          <w:szCs w:val="22"/>
        </w:rPr>
      </w:pPr>
      <w:r>
        <w:rPr>
          <w:sz w:val="22"/>
          <w:szCs w:val="22"/>
        </w:rPr>
        <w:t xml:space="preserve">Le système hydraulique se compose tout d’abord d’un équipement de base, extensible de façon modulaire par toute une série d’options, ce qui permet au client d’adapter la machine à ses besoins et de gagner en rentabilité.  </w:t>
      </w:r>
    </w:p>
    <w:p w:rsidR="007B0444" w:rsidRPr="003B5CBB" w:rsidRDefault="007B0444" w:rsidP="003B5CBB">
      <w:pPr>
        <w:spacing w:line="276" w:lineRule="auto"/>
        <w:rPr>
          <w:rFonts w:cs="Arial"/>
          <w:i/>
          <w:sz w:val="22"/>
          <w:szCs w:val="22"/>
        </w:rPr>
      </w:pPr>
    </w:p>
    <w:p w:rsidR="007B0444" w:rsidRPr="003B5CBB" w:rsidRDefault="007B0444" w:rsidP="003B5CBB">
      <w:pPr>
        <w:spacing w:line="276" w:lineRule="auto"/>
        <w:rPr>
          <w:rFonts w:cs="Arial"/>
          <w:i/>
          <w:sz w:val="22"/>
          <w:szCs w:val="22"/>
        </w:rPr>
      </w:pPr>
      <w:r>
        <w:rPr>
          <w:i/>
          <w:sz w:val="22"/>
          <w:szCs w:val="22"/>
        </w:rPr>
        <w:t>Technologie de commande machine : des systèmes intelligents</w:t>
      </w:r>
    </w:p>
    <w:p w:rsidR="007B0444" w:rsidRPr="004C58A4" w:rsidRDefault="007B0444" w:rsidP="003B5CBB">
      <w:pPr>
        <w:spacing w:line="276" w:lineRule="auto"/>
        <w:contextualSpacing/>
        <w:jc w:val="both"/>
        <w:rPr>
          <w:rFonts w:cs="Arial"/>
          <w:sz w:val="22"/>
          <w:szCs w:val="22"/>
        </w:rPr>
      </w:pPr>
      <w:r w:rsidRPr="004C58A4">
        <w:rPr>
          <w:sz w:val="22"/>
          <w:szCs w:val="22"/>
        </w:rPr>
        <w:t xml:space="preserve">Les machines à coffrage glissant de WIRTGEN offrent également une commande de machine à la pointe de la technologie. Les interfaces destinées au système de diagnostic de service WIDIAG du WIRTGEN GROUP ou encore au système WITOS FleetView facilitent la tâche de l’utilisateur. </w:t>
      </w:r>
    </w:p>
    <w:p w:rsidR="007B0444" w:rsidRPr="004C58A4" w:rsidRDefault="007B0444" w:rsidP="003B5CBB">
      <w:pPr>
        <w:spacing w:line="276" w:lineRule="auto"/>
        <w:contextualSpacing/>
        <w:jc w:val="both"/>
        <w:rPr>
          <w:rFonts w:cs="Arial"/>
          <w:sz w:val="22"/>
          <w:szCs w:val="22"/>
        </w:rPr>
      </w:pPr>
      <w:r w:rsidRPr="004C58A4">
        <w:rPr>
          <w:sz w:val="22"/>
          <w:szCs w:val="22"/>
        </w:rPr>
        <w:t>Une simple pression de touche suffit à mettre les deux trains de chenilles de la SP 62i en contre-rotation de manière à permettre à la machine à coffrage glissant de pivoter autour de son axe et d’être extrêmement maniable.</w:t>
      </w:r>
    </w:p>
    <w:p w:rsidR="007B0444" w:rsidRPr="004C58A4" w:rsidRDefault="007B0444" w:rsidP="003B5CBB">
      <w:pPr>
        <w:pStyle w:val="Text"/>
        <w:spacing w:line="276" w:lineRule="auto"/>
        <w:rPr>
          <w:rStyle w:val="Hervorhebung"/>
          <w:b w:val="0"/>
        </w:rPr>
      </w:pPr>
      <w:r w:rsidRPr="004C58A4">
        <w:rPr>
          <w:szCs w:val="22"/>
        </w:rPr>
        <w:t>Dotée de deux longs trains de chenilles offrant une plus grande surface de contact au sol, la SP 62i exerce une pression au sol faible, ce qui lui permet d’être mise en œuvre même sur les sols difficiles tout en assurant un résultat de pose rentable.</w:t>
      </w:r>
      <w:r w:rsidRPr="004C58A4">
        <w:rPr>
          <w:rStyle w:val="Hervorhebung"/>
          <w:b w:val="0"/>
        </w:rPr>
        <w:t xml:space="preserve"> </w:t>
      </w:r>
    </w:p>
    <w:p w:rsidR="007B0444" w:rsidRPr="004C58A4" w:rsidRDefault="007B0444" w:rsidP="00EF69DF">
      <w:pPr>
        <w:pStyle w:val="Text"/>
        <w:spacing w:line="276" w:lineRule="auto"/>
        <w:rPr>
          <w:rStyle w:val="Hervorhebung"/>
          <w:b w:val="0"/>
        </w:rPr>
      </w:pPr>
    </w:p>
    <w:p w:rsidR="007B0444" w:rsidRPr="004C58A4" w:rsidRDefault="007B0444" w:rsidP="00EF69DF">
      <w:pPr>
        <w:pStyle w:val="Text"/>
        <w:spacing w:line="276" w:lineRule="auto"/>
        <w:rPr>
          <w:rStyle w:val="Hervorhebung"/>
        </w:rPr>
      </w:pPr>
      <w:r w:rsidRPr="004C58A4">
        <w:rPr>
          <w:rStyle w:val="Hervorhebung"/>
        </w:rPr>
        <w:t>La série SP 60 : l’intermédiaire entre les machines à coffrage glissant Inset et Offset</w:t>
      </w:r>
    </w:p>
    <w:p w:rsidR="007B0444" w:rsidRPr="003B5CBB" w:rsidRDefault="007B0444" w:rsidP="003B5CBB">
      <w:pPr>
        <w:pStyle w:val="Text"/>
        <w:spacing w:line="276" w:lineRule="auto"/>
        <w:rPr>
          <w:rStyle w:val="Hervorhebung"/>
          <w:b w:val="0"/>
        </w:rPr>
      </w:pPr>
      <w:r w:rsidRPr="004C58A4">
        <w:rPr>
          <w:rStyle w:val="Hervorhebung"/>
          <w:b w:val="0"/>
        </w:rPr>
        <w:t>La nouvelle série SP 60 de WIRTGEN ne vient pas seulement élargir la diversité des applications de la classe de puissance allant jusqu’à une largeur de pose de 7,5 m</w:t>
      </w:r>
      <w:r>
        <w:rPr>
          <w:rStyle w:val="Hervorhebung"/>
          <w:b w:val="0"/>
        </w:rPr>
        <w:t xml:space="preserve"> (24 pieds) (Inset) et des applications Offset. En effet, avec la SP 61i, la SP 62i et la SP 64i, la gamme des machines à coffrage glissant compte désormais 12 modèles. </w:t>
      </w:r>
    </w:p>
    <w:p w:rsidR="004C58A4" w:rsidRDefault="007B0444" w:rsidP="004C58A4">
      <w:pPr>
        <w:pStyle w:val="Text"/>
        <w:spacing w:line="276" w:lineRule="auto"/>
      </w:pPr>
      <w:r>
        <w:rPr>
          <w:rStyle w:val="Hervorhebung"/>
          <w:b w:val="0"/>
        </w:rPr>
        <w:t xml:space="preserve">Ainsi, la série SP 60 fait le lien : elle complète vers le haut la gamme des machines Offset – composée de la SP 15i et de la SP 25i – et assure la transition avec les modèles de taille moyenne de la série SP 90, avec des largeurs de pose allant jusqu’à 9,5 m (31 pieds, 2 pouces). La famille de produits est encore complétée par les grandes machines à coffrage glissant Inset pouvant poser des chaussées jusqu’à 16 m de largeur (52 pieds, 6 pouces). </w:t>
      </w:r>
    </w:p>
    <w:p w:rsidR="004C58A4" w:rsidRDefault="004C58A4" w:rsidP="004C58A4">
      <w:pPr>
        <w:pStyle w:val="Text"/>
      </w:pPr>
      <w:r>
        <w:br w:type="page"/>
      </w:r>
    </w:p>
    <w:p w:rsidR="007B0444" w:rsidRDefault="004C58A4" w:rsidP="00C644CA">
      <w:pPr>
        <w:pStyle w:val="HeadlineFotos"/>
      </w:pPr>
      <w:r>
        <w:rPr>
          <w:caps w:val="0"/>
          <w:szCs w:val="22"/>
        </w:rPr>
        <w:lastRenderedPageBreak/>
        <w:t>F</w:t>
      </w:r>
      <w:r w:rsidR="007B0444">
        <w:rPr>
          <w:caps w:val="0"/>
          <w:szCs w:val="22"/>
        </w:rPr>
        <w:t>otos </w:t>
      </w:r>
      <w:r w:rsidR="007B0444">
        <w:t>:</w:t>
      </w:r>
    </w:p>
    <w:tbl>
      <w:tblPr>
        <w:tblW w:w="0" w:type="auto"/>
        <w:tblCellSpacing w:w="71" w:type="dxa"/>
        <w:tblCellMar>
          <w:left w:w="0" w:type="dxa"/>
          <w:right w:w="0" w:type="dxa"/>
        </w:tblCellMar>
        <w:tblLook w:val="00A0" w:firstRow="1" w:lastRow="0" w:firstColumn="1" w:lastColumn="0" w:noHBand="0" w:noVBand="0"/>
      </w:tblPr>
      <w:tblGrid>
        <w:gridCol w:w="4960"/>
        <w:gridCol w:w="4848"/>
      </w:tblGrid>
      <w:tr w:rsidR="007B0444" w:rsidRPr="006E1952" w:rsidTr="006E1952">
        <w:trPr>
          <w:tblCellSpacing w:w="71" w:type="dxa"/>
        </w:trPr>
        <w:tc>
          <w:tcPr>
            <w:tcW w:w="4832" w:type="dxa"/>
            <w:tcBorders>
              <w:right w:val="single" w:sz="4" w:space="0" w:color="auto"/>
            </w:tcBorders>
          </w:tcPr>
          <w:p w:rsidR="007B0444" w:rsidRPr="006E1952" w:rsidRDefault="00C368DB" w:rsidP="00D166AC">
            <w:pPr>
              <w:rPr>
                <w:szCs w:val="20"/>
              </w:rPr>
            </w:pPr>
            <w:r>
              <w:rPr>
                <w:noProof/>
                <w:szCs w:val="20"/>
                <w:lang w:val="de-DE" w:eastAsia="de-DE"/>
              </w:rPr>
              <w:drawing>
                <wp:inline distT="0" distB="0" distL="0" distR="0" wp14:anchorId="562BB69A" wp14:editId="66090B68">
                  <wp:extent cx="2616835" cy="1940560"/>
                  <wp:effectExtent l="1905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8"/>
                          <a:srcRect/>
                          <a:stretch>
                            <a:fillRect/>
                          </a:stretch>
                        </pic:blipFill>
                        <pic:spPr bwMode="auto">
                          <a:xfrm>
                            <a:off x="0" y="0"/>
                            <a:ext cx="2616835" cy="1940560"/>
                          </a:xfrm>
                          <a:prstGeom prst="rect">
                            <a:avLst/>
                          </a:prstGeom>
                          <a:noFill/>
                          <a:ln w="9525">
                            <a:noFill/>
                            <a:miter lim="800000"/>
                            <a:headEnd/>
                            <a:tailEnd/>
                          </a:ln>
                        </pic:spPr>
                      </pic:pic>
                    </a:graphicData>
                  </a:graphic>
                </wp:inline>
              </w:drawing>
            </w:r>
          </w:p>
        </w:tc>
        <w:tc>
          <w:tcPr>
            <w:tcW w:w="4832" w:type="dxa"/>
          </w:tcPr>
          <w:p w:rsidR="007B0444" w:rsidRPr="006E1952" w:rsidRDefault="007B0444" w:rsidP="0014683F">
            <w:pPr>
              <w:pStyle w:val="berschrift3"/>
            </w:pPr>
            <w:r w:rsidRPr="006E1952">
              <w:t xml:space="preserve">W_graphic_SP62i_00006_HI </w:t>
            </w:r>
          </w:p>
          <w:p w:rsidR="007B0444" w:rsidRPr="006E1952" w:rsidRDefault="007B0444" w:rsidP="006E1952">
            <w:pPr>
              <w:pStyle w:val="Text"/>
              <w:jc w:val="left"/>
              <w:rPr>
                <w:sz w:val="20"/>
                <w:szCs w:val="20"/>
              </w:rPr>
            </w:pPr>
            <w:r w:rsidRPr="004C58A4">
              <w:rPr>
                <w:sz w:val="20"/>
                <w:szCs w:val="20"/>
              </w:rPr>
              <w:t>La machine à coffrage glissant Inset compacte SP 62i de WIRTGEN permet de poser avec précision des surfaces en béton entre 2,00 et 7,50 m de largeur (6 pieds, 6 pouces, et 24 pieds) et jusqu’à 450 mm d’épaisseur (18 pouces) – et plus si le client le souhaite.</w:t>
            </w:r>
            <w:bookmarkStart w:id="0" w:name="_GoBack"/>
            <w:bookmarkEnd w:id="0"/>
          </w:p>
        </w:tc>
      </w:tr>
    </w:tbl>
    <w:p w:rsidR="007B0444" w:rsidRPr="00671A40" w:rsidRDefault="007B0444" w:rsidP="00D166AC">
      <w:pPr>
        <w:pStyle w:val="Text"/>
      </w:pPr>
    </w:p>
    <w:p w:rsidR="007B0444" w:rsidRDefault="007B0444" w:rsidP="00C03396">
      <w:pPr>
        <w:pStyle w:val="Text"/>
        <w:rPr>
          <w:i/>
          <w:u w:val="single"/>
        </w:rPr>
      </w:pPr>
    </w:p>
    <w:tbl>
      <w:tblPr>
        <w:tblW w:w="0" w:type="auto"/>
        <w:tblCellSpacing w:w="71" w:type="dxa"/>
        <w:tblCellMar>
          <w:left w:w="0" w:type="dxa"/>
          <w:right w:w="0" w:type="dxa"/>
        </w:tblCellMar>
        <w:tblLook w:val="00A0" w:firstRow="1" w:lastRow="0" w:firstColumn="1" w:lastColumn="0" w:noHBand="0" w:noVBand="0"/>
      </w:tblPr>
      <w:tblGrid>
        <w:gridCol w:w="4935"/>
        <w:gridCol w:w="4873"/>
      </w:tblGrid>
      <w:tr w:rsidR="007B0444" w:rsidRPr="006E1952" w:rsidTr="006E1952">
        <w:trPr>
          <w:tblCellSpacing w:w="71" w:type="dxa"/>
        </w:trPr>
        <w:tc>
          <w:tcPr>
            <w:tcW w:w="4832" w:type="dxa"/>
            <w:tcBorders>
              <w:right w:val="single" w:sz="4" w:space="0" w:color="auto"/>
            </w:tcBorders>
          </w:tcPr>
          <w:p w:rsidR="007B0444" w:rsidRPr="006E1952" w:rsidRDefault="00C368DB" w:rsidP="004F30A0">
            <w:pPr>
              <w:rPr>
                <w:szCs w:val="20"/>
              </w:rPr>
            </w:pPr>
            <w:r>
              <w:rPr>
                <w:noProof/>
                <w:szCs w:val="20"/>
                <w:lang w:val="de-DE" w:eastAsia="de-DE"/>
              </w:rPr>
              <w:drawing>
                <wp:inline distT="0" distB="0" distL="0" distR="0" wp14:anchorId="372E473F" wp14:editId="05700B17">
                  <wp:extent cx="2402840" cy="1760855"/>
                  <wp:effectExtent l="19050" t="0" r="0" b="0"/>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srcRect/>
                          <a:stretch>
                            <a:fillRect/>
                          </a:stretch>
                        </pic:blipFill>
                        <pic:spPr bwMode="auto">
                          <a:xfrm>
                            <a:off x="0" y="0"/>
                            <a:ext cx="2402840" cy="1760855"/>
                          </a:xfrm>
                          <a:prstGeom prst="rect">
                            <a:avLst/>
                          </a:prstGeom>
                          <a:noFill/>
                          <a:ln w="9525">
                            <a:noFill/>
                            <a:miter lim="800000"/>
                            <a:headEnd/>
                            <a:tailEnd/>
                          </a:ln>
                        </pic:spPr>
                      </pic:pic>
                    </a:graphicData>
                  </a:graphic>
                </wp:inline>
              </w:drawing>
            </w:r>
          </w:p>
        </w:tc>
        <w:tc>
          <w:tcPr>
            <w:tcW w:w="4832" w:type="dxa"/>
          </w:tcPr>
          <w:p w:rsidR="007B0444" w:rsidRPr="006E1952" w:rsidRDefault="007B0444" w:rsidP="004F30A0">
            <w:pPr>
              <w:pStyle w:val="berschrift3"/>
            </w:pPr>
            <w:r w:rsidRPr="006E1952">
              <w:t>W_graphic_SP62i_00008_HI</w:t>
            </w:r>
          </w:p>
          <w:p w:rsidR="007B0444" w:rsidRPr="006E1952" w:rsidRDefault="007B0444" w:rsidP="006E1952">
            <w:pPr>
              <w:pStyle w:val="Text"/>
              <w:jc w:val="left"/>
              <w:rPr>
                <w:sz w:val="20"/>
                <w:szCs w:val="20"/>
              </w:rPr>
            </w:pPr>
            <w:r w:rsidRPr="004C58A4">
              <w:rPr>
                <w:sz w:val="20"/>
                <w:szCs w:val="20"/>
              </w:rPr>
              <w:t>Une simple pression de touche suffit à mettre les deux trains de chenilles de la WIRTGEN SP 62i en contre-rotation de manière à permettre à la machine à coffrage glissant de pivoter autour de son axe et d’être extrêmement maniable.</w:t>
            </w:r>
          </w:p>
        </w:tc>
      </w:tr>
    </w:tbl>
    <w:p w:rsidR="007B0444" w:rsidRPr="00D166AC" w:rsidRDefault="007B0444" w:rsidP="00D166AC">
      <w:pPr>
        <w:pStyle w:val="Text"/>
      </w:pPr>
    </w:p>
    <w:sectPr w:rsidR="007B0444" w:rsidRPr="00D166AC" w:rsidSect="003A753A">
      <w:headerReference w:type="default" r:id="rId10"/>
      <w:footerReference w:type="default" r:id="rId11"/>
      <w:headerReference w:type="first" r:id="rId12"/>
      <w:footerReference w:type="first" r:id="rId13"/>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5729" w:rsidRDefault="008E5729" w:rsidP="00E55534">
      <w:r>
        <w:separator/>
      </w:r>
    </w:p>
  </w:endnote>
  <w:endnote w:type="continuationSeparator" w:id="0">
    <w:p w:rsidR="008E5729" w:rsidRDefault="008E572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0A0" w:firstRow="1" w:lastRow="0" w:firstColumn="1" w:lastColumn="0" w:noHBand="0" w:noVBand="0"/>
    </w:tblPr>
    <w:tblGrid>
      <w:gridCol w:w="8364"/>
      <w:gridCol w:w="1160"/>
    </w:tblGrid>
    <w:tr w:rsidR="007B0444" w:rsidRPr="006E1952" w:rsidTr="006E1952">
      <w:trPr>
        <w:trHeight w:hRule="exact" w:val="227"/>
      </w:trPr>
      <w:tc>
        <w:tcPr>
          <w:tcW w:w="8364" w:type="dxa"/>
        </w:tcPr>
        <w:p w:rsidR="007B0444" w:rsidRPr="006E1952" w:rsidRDefault="007B0444" w:rsidP="006E1952">
          <w:pPr>
            <w:pStyle w:val="Kolumnentitel"/>
            <w:rPr>
              <w:szCs w:val="20"/>
            </w:rPr>
          </w:pPr>
          <w:r w:rsidRPr="006E1952">
            <w:rPr>
              <w:rStyle w:val="Platzhaltertext"/>
              <w:szCs w:val="20"/>
            </w:rPr>
            <w:t xml:space="preserve">     </w:t>
          </w:r>
        </w:p>
      </w:tc>
      <w:tc>
        <w:tcPr>
          <w:tcW w:w="1160" w:type="dxa"/>
        </w:tcPr>
        <w:p w:rsidR="007B0444" w:rsidRPr="006E1952" w:rsidRDefault="008270E8" w:rsidP="006E1952">
          <w:pPr>
            <w:pStyle w:val="Seitenzahlen"/>
            <w:rPr>
              <w:szCs w:val="20"/>
            </w:rPr>
          </w:pPr>
          <w:r w:rsidRPr="006E1952">
            <w:rPr>
              <w:szCs w:val="20"/>
            </w:rPr>
            <w:fldChar w:fldCharType="begin"/>
          </w:r>
          <w:r w:rsidR="007B0444" w:rsidRPr="006E1952">
            <w:rPr>
              <w:szCs w:val="20"/>
            </w:rPr>
            <w:instrText xml:space="preserve"> PAGE \# "00"</w:instrText>
          </w:r>
          <w:r w:rsidRPr="006E1952">
            <w:rPr>
              <w:szCs w:val="20"/>
            </w:rPr>
            <w:fldChar w:fldCharType="separate"/>
          </w:r>
          <w:r w:rsidR="004C58A4">
            <w:rPr>
              <w:noProof/>
              <w:szCs w:val="20"/>
            </w:rPr>
            <w:t>03</w:t>
          </w:r>
          <w:r w:rsidRPr="006E1952">
            <w:rPr>
              <w:szCs w:val="20"/>
            </w:rPr>
            <w:fldChar w:fldCharType="end"/>
          </w:r>
        </w:p>
      </w:tc>
    </w:tr>
  </w:tbl>
  <w:p w:rsidR="007B0444" w:rsidRDefault="004C58A4">
    <w:pPr>
      <w:pStyle w:val="Fuzeile"/>
    </w:pPr>
    <w:r>
      <w:rPr>
        <w:noProof/>
        <w:lang w:val="de-DE" w:eastAsia="de-DE"/>
      </w:rPr>
      <mc:AlternateContent>
        <mc:Choice Requires="wps">
          <w:drawing>
            <wp:anchor distT="0" distB="0" distL="114300" distR="114300" simplePos="0" relativeHeight="251661312" behindDoc="0" locked="0" layoutInCell="1" allowOverlap="1">
              <wp:simplePos x="0" y="0"/>
              <wp:positionH relativeFrom="page">
                <wp:posOffset>756285</wp:posOffset>
              </wp:positionH>
              <wp:positionV relativeFrom="page">
                <wp:posOffset>10189210</wp:posOffset>
              </wp:positionV>
              <wp:extent cx="6047740" cy="17780"/>
              <wp:effectExtent l="3810" t="0" r="0" b="3810"/>
              <wp:wrapNone/>
              <wp:docPr id="9"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12" o:spid="_x0000_s1026" style="position:absolute;margin-left:59.55pt;margin-top:802.3pt;width:476.2pt;height:1.4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" fillcolor="#41535d" stroked="f" strokeweight="2p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0A0" w:firstRow="1" w:lastRow="0" w:firstColumn="1" w:lastColumn="0" w:noHBand="0" w:noVBand="0"/>
    </w:tblPr>
    <w:tblGrid>
      <w:gridCol w:w="9524"/>
    </w:tblGrid>
    <w:tr w:rsidR="007B0444" w:rsidRPr="006E1952" w:rsidTr="006E1952">
      <w:tc>
        <w:tcPr>
          <w:tcW w:w="9664" w:type="dxa"/>
        </w:tcPr>
        <w:p w:rsidR="007B0444" w:rsidRPr="006E1952" w:rsidRDefault="008270E8" w:rsidP="006E1952">
          <w:pPr>
            <w:pStyle w:val="Fuzeile"/>
            <w:spacing w:before="96" w:after="96"/>
            <w:rPr>
              <w:szCs w:val="20"/>
            </w:rPr>
          </w:pPr>
          <w:r w:rsidRPr="008270E8">
            <w:rPr>
              <w:rStyle w:val="Hervorhebung"/>
              <w:szCs w:val="20"/>
              <w:lang w:val="de-DE"/>
            </w:rPr>
            <w:t>WIRTGEN GmbH</w:t>
          </w:r>
          <w:r w:rsidRPr="008270E8">
            <w:rPr>
              <w:szCs w:val="20"/>
              <w:lang w:val="de-DE"/>
            </w:rPr>
            <w:t xml:space="preserve"> · Reinhard-Wirtgen-Str. </w:t>
          </w:r>
          <w:r w:rsidR="007B0444" w:rsidRPr="006E1952">
            <w:rPr>
              <w:szCs w:val="20"/>
            </w:rPr>
            <w:t>2 · D-53578 Windhagen · T: +49 26 45 / 131 0</w:t>
          </w:r>
        </w:p>
      </w:tc>
    </w:tr>
  </w:tbl>
  <w:p w:rsidR="007B0444" w:rsidRDefault="004C58A4">
    <w:pPr>
      <w:pStyle w:val="Fuzeile"/>
    </w:pPr>
    <w:r>
      <w:rPr>
        <w:noProof/>
        <w:lang w:val="de-DE"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10081260</wp:posOffset>
              </wp:positionV>
              <wp:extent cx="6047740" cy="17780"/>
              <wp:effectExtent l="3810" t="3810" r="0" b="0"/>
              <wp:wrapNone/>
              <wp:docPr id="5"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17780"/>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6" o:spid="_x0000_s1026" style="position:absolute;margin-left:59.55pt;margin-top:793.8pt;width:476.2pt;height:1.4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" fillcolor="#41535d" stroked="f" strokeweight="2p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5729" w:rsidRDefault="008E5729" w:rsidP="00E55534">
      <w:r>
        <w:separator/>
      </w:r>
    </w:p>
  </w:footnote>
  <w:footnote w:type="continuationSeparator" w:id="0">
    <w:p w:rsidR="008E5729" w:rsidRDefault="008E572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444" w:rsidRPr="002E765F" w:rsidRDefault="007B0444">
    <w:pPr>
      <w:pStyle w:val="Kopfzeile"/>
      <w:rPr>
        <w:noProof/>
        <w:sz w:val="14"/>
        <w:lang w:eastAsia="de-DE"/>
      </w:rPr>
    </w:pPr>
  </w:p>
  <w:tbl>
    <w:tblPr>
      <w:tblpPr w:vertAnchor="page" w:horzAnchor="page" w:tblpX="7287" w:tblpY="1379"/>
      <w:tblW w:w="0" w:type="auto"/>
      <w:tblLayout w:type="fixed"/>
      <w:tblCellMar>
        <w:left w:w="0" w:type="dxa"/>
        <w:right w:w="0" w:type="dxa"/>
      </w:tblCellMar>
      <w:tblLook w:val="00A0" w:firstRow="1" w:lastRow="0" w:firstColumn="1" w:lastColumn="0" w:noHBand="0" w:noVBand="0"/>
    </w:tblPr>
    <w:tblGrid>
      <w:gridCol w:w="3439"/>
    </w:tblGrid>
    <w:tr w:rsidR="007B0444" w:rsidRPr="006E1952" w:rsidTr="006E1952">
      <w:trPr>
        <w:trHeight w:hRule="exact" w:val="510"/>
      </w:trPr>
      <w:tc>
        <w:tcPr>
          <w:tcW w:w="3439" w:type="dxa"/>
        </w:tcPr>
        <w:p w:rsidR="007B0444" w:rsidRPr="006E1952" w:rsidRDefault="007B0444" w:rsidP="006E1952">
          <w:pPr>
            <w:pStyle w:val="Titel"/>
            <w:jc w:val="right"/>
            <w:rPr>
              <w:sz w:val="32"/>
              <w:szCs w:val="34"/>
            </w:rPr>
          </w:pPr>
          <w:r w:rsidRPr="006E1952">
            <w:rPr>
              <w:sz w:val="32"/>
              <w:szCs w:val="34"/>
            </w:rPr>
            <w:t xml:space="preserve">PRESS </w:t>
          </w:r>
          <w:r w:rsidRPr="006E1952">
            <w:rPr>
              <w:sz w:val="6"/>
              <w:szCs w:val="2"/>
            </w:rPr>
            <w:t xml:space="preserve"> </w:t>
          </w:r>
          <w:r w:rsidRPr="006E1952">
            <w:rPr>
              <w:sz w:val="32"/>
              <w:szCs w:val="34"/>
            </w:rPr>
            <w:t>RELEASE</w:t>
          </w:r>
        </w:p>
      </w:tc>
    </w:tr>
  </w:tbl>
  <w:p w:rsidR="007B0444" w:rsidRPr="002E765F" w:rsidRDefault="00C368DB">
    <w:pPr>
      <w:pStyle w:val="Kopfzeile"/>
      <w:rPr>
        <w:sz w:val="14"/>
      </w:rPr>
    </w:pPr>
    <w:r>
      <w:rPr>
        <w:noProof/>
        <w:lang w:val="de-DE" w:eastAsia="de-DE"/>
      </w:rPr>
      <w:drawing>
        <wp:anchor distT="0" distB="0" distL="114300" distR="114300" simplePos="0" relativeHeight="251659264" behindDoc="0" locked="0" layoutInCell="1" allowOverlap="1">
          <wp:simplePos x="0" y="0"/>
          <wp:positionH relativeFrom="page">
            <wp:posOffset>5443855</wp:posOffset>
          </wp:positionH>
          <wp:positionV relativeFrom="page">
            <wp:posOffset>323850</wp:posOffset>
          </wp:positionV>
          <wp:extent cx="1360805" cy="64770"/>
          <wp:effectExtent l="19050" t="0" r="0" b="0"/>
          <wp:wrapNone/>
          <wp:docPr id="1"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srcRect/>
                  <a:stretch>
                    <a:fillRect/>
                  </a:stretch>
                </pic:blipFill>
                <pic:spPr bwMode="auto">
                  <a:xfrm>
                    <a:off x="0" y="0"/>
                    <a:ext cx="1360805" cy="64770"/>
                  </a:xfrm>
                  <a:prstGeom prst="rect">
                    <a:avLst/>
                  </a:prstGeom>
                  <a:noFill/>
                </pic:spPr>
              </pic:pic>
            </a:graphicData>
          </a:graphic>
        </wp:anchor>
      </w:drawing>
    </w:r>
    <w:r>
      <w:rPr>
        <w:noProof/>
        <w:lang w:val="de-DE" w:eastAsia="de-DE"/>
      </w:rPr>
      <w:drawing>
        <wp:anchor distT="0" distB="0" distL="114300" distR="114300" simplePos="0" relativeHeight="251658240" behindDoc="0" locked="0" layoutInCell="1" allowOverlap="1">
          <wp:simplePos x="0" y="0"/>
          <wp:positionH relativeFrom="page">
            <wp:posOffset>756285</wp:posOffset>
          </wp:positionH>
          <wp:positionV relativeFrom="page">
            <wp:posOffset>288290</wp:posOffset>
          </wp:positionV>
          <wp:extent cx="1605915" cy="288290"/>
          <wp:effectExtent l="19050" t="0" r="0" b="0"/>
          <wp:wrapNone/>
          <wp:docPr id="2"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srcRect/>
                  <a:stretch>
                    <a:fillRect/>
                  </a:stretch>
                </pic:blipFill>
                <pic:spPr bwMode="auto">
                  <a:xfrm>
                    <a:off x="0" y="0"/>
                    <a:ext cx="1605915" cy="288290"/>
                  </a:xfrm>
                  <a:prstGeom prst="rect">
                    <a:avLst/>
                  </a:prstGeom>
                  <a:noFill/>
                </pic:spPr>
              </pic:pic>
            </a:graphicData>
          </a:graphic>
        </wp:anchor>
      </w:drawing>
    </w:r>
    <w:r w:rsidR="004C58A4">
      <w:rPr>
        <w:noProof/>
        <w:lang w:val="de-DE" w:eastAsia="de-DE"/>
      </w:rPr>
      <mc:AlternateContent>
        <mc:Choice Requires="wps">
          <w:drawing>
            <wp:anchor distT="0" distB="0" distL="114300" distR="114300" simplePos="0" relativeHeight="251660288" behindDoc="0" locked="0" layoutInCell="1" allowOverlap="1">
              <wp:simplePos x="0" y="0"/>
              <wp:positionH relativeFrom="page">
                <wp:posOffset>756285</wp:posOffset>
              </wp:positionH>
              <wp:positionV relativeFrom="page">
                <wp:posOffset>702310</wp:posOffset>
              </wp:positionV>
              <wp:extent cx="6047740" cy="36195"/>
              <wp:effectExtent l="3810" t="0" r="0" b="4445"/>
              <wp:wrapNone/>
              <wp:docPr id="10"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11" o:spid="_x0000_s1026" style="position:absolute;margin-left:59.55pt;margin-top:55.3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" fillcolor="#41535d" stroked="f" strokeweight="2pt">
              <w10:wrap anchorx="page" anchory="page"/>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0444" w:rsidRDefault="004C58A4">
    <w:pPr>
      <w:pStyle w:val="Kopfzeile"/>
    </w:pPr>
    <w:r>
      <w:rPr>
        <w:noProof/>
        <w:lang w:val="de-DE" w:eastAsia="de-DE"/>
      </w:rPr>
      <mc:AlternateContent>
        <mc:Choice Requires="wps">
          <w:drawing>
            <wp:anchor distT="0" distB="0" distL="114300" distR="114300" simplePos="0" relativeHeight="251656192" behindDoc="0" locked="0" layoutInCell="1" allowOverlap="1">
              <wp:simplePos x="0" y="0"/>
              <wp:positionH relativeFrom="page">
                <wp:posOffset>756285</wp:posOffset>
              </wp:positionH>
              <wp:positionV relativeFrom="page">
                <wp:posOffset>935990</wp:posOffset>
              </wp:positionV>
              <wp:extent cx="6047740" cy="36195"/>
              <wp:effectExtent l="3810" t="2540" r="0" b="0"/>
              <wp:wrapNone/>
              <wp:docPr id="8"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47740" cy="36195"/>
                      </a:xfrm>
                      <a:prstGeom prst="rect">
                        <a:avLst/>
                      </a:prstGeom>
                      <a:solidFill>
                        <a:srgbClr val="41535D"/>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hteck 5" o:spid="_x0000_s1026" style="position:absolute;margin-left:59.55pt;margin-top:73.7pt;width:476.2pt;height:2.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" fillcolor="#41535d" stroked="f" strokeweight="2pt">
              <w10:wrap anchorx="page" anchory="page"/>
            </v:rect>
          </w:pict>
        </mc:Fallback>
      </mc:AlternateContent>
    </w:r>
    <w:r w:rsidR="00C368DB">
      <w:rPr>
        <w:noProof/>
        <w:lang w:val="de-DE" w:eastAsia="de-DE"/>
      </w:rPr>
      <w:drawing>
        <wp:anchor distT="0" distB="0" distL="114300" distR="114300" simplePos="0" relativeHeight="251655168" behindDoc="0" locked="0" layoutInCell="1" allowOverlap="1">
          <wp:simplePos x="0" y="0"/>
          <wp:positionH relativeFrom="page">
            <wp:posOffset>5328920</wp:posOffset>
          </wp:positionH>
          <wp:positionV relativeFrom="page">
            <wp:posOffset>421005</wp:posOffset>
          </wp:positionV>
          <wp:extent cx="1475740" cy="79375"/>
          <wp:effectExtent l="19050" t="0" r="0" b="0"/>
          <wp:wrapNone/>
          <wp:docPr id="6"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srcRect/>
                  <a:stretch>
                    <a:fillRect/>
                  </a:stretch>
                </pic:blipFill>
                <pic:spPr bwMode="auto">
                  <a:xfrm>
                    <a:off x="0" y="0"/>
                    <a:ext cx="1475740" cy="79375"/>
                  </a:xfrm>
                  <a:prstGeom prst="rect">
                    <a:avLst/>
                  </a:prstGeom>
                  <a:noFill/>
                </pic:spPr>
              </pic:pic>
            </a:graphicData>
          </a:graphic>
        </wp:anchor>
      </w:drawing>
    </w:r>
    <w:r w:rsidR="00C368DB">
      <w:rPr>
        <w:noProof/>
        <w:lang w:val="de-DE" w:eastAsia="de-DE"/>
      </w:rPr>
      <w:drawing>
        <wp:anchor distT="0" distB="0" distL="114300" distR="114300" simplePos="0" relativeHeight="251654144" behindDoc="0" locked="0" layoutInCell="1" allowOverlap="1">
          <wp:simplePos x="0" y="0"/>
          <wp:positionH relativeFrom="page">
            <wp:posOffset>756285</wp:posOffset>
          </wp:positionH>
          <wp:positionV relativeFrom="page">
            <wp:posOffset>360045</wp:posOffset>
          </wp:positionV>
          <wp:extent cx="3290570" cy="360045"/>
          <wp:effectExtent l="19050" t="0" r="5080" b="0"/>
          <wp:wrapNone/>
          <wp:docPr id="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srcRect/>
                  <a:stretch>
                    <a:fillRect/>
                  </a:stretch>
                </pic:blipFill>
                <pic:spPr bwMode="auto">
                  <a:xfrm>
                    <a:off x="0" y="0"/>
                    <a:ext cx="3290570" cy="360045"/>
                  </a:xfrm>
                  <a:prstGeom prst="rect">
                    <a:avLst/>
                  </a:prstGeom>
                  <a:noFill/>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7" type="#_x0000_t75" style="width:1499.25pt;height:1499.25pt" o:bullet="t">
        <v:imagedata r:id="rId1" o:title=""/>
      </v:shape>
    </w:pict>
  </w:numPicBullet>
  <w:numPicBullet w:numPicBulletId="1">
    <w:pict>
      <v:shape id="_x0000_i1098" type="#_x0000_t75" style="width:6.75pt;height:6.75pt" o:bullet="t">
        <v:imagedata r:id="rId2" o:title=""/>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cs="Times New Roman" w:hint="default"/>
        <w:sz w:val="36"/>
      </w:rPr>
    </w:lvl>
    <w:lvl w:ilvl="1">
      <w:start w:val="1"/>
      <w:numFmt w:val="decimal"/>
      <w:lvlText w:val="%1.%2."/>
      <w:lvlJc w:val="left"/>
      <w:pPr>
        <w:tabs>
          <w:tab w:val="num" w:pos="510"/>
        </w:tabs>
        <w:ind w:left="510" w:hanging="510"/>
      </w:pPr>
      <w:rPr>
        <w:rFonts w:ascii="Verdana" w:hAnsi="Verdana" w:cs="Times New Roman" w:hint="default"/>
        <w:sz w:val="26"/>
      </w:rPr>
    </w:lvl>
    <w:lvl w:ilvl="2">
      <w:start w:val="1"/>
      <w:numFmt w:val="decimal"/>
      <w:lvlText w:val="%1.%2.%3"/>
      <w:lvlJc w:val="left"/>
      <w:pPr>
        <w:tabs>
          <w:tab w:val="num" w:pos="680"/>
        </w:tabs>
        <w:ind w:left="680" w:hanging="680"/>
      </w:pPr>
      <w:rPr>
        <w:rFonts w:ascii="Verdana" w:hAnsi="Verdana" w:cs="Times New Roman" w:hint="default"/>
        <w:sz w:val="22"/>
      </w:rPr>
    </w:lvl>
    <w:lvl w:ilvl="3">
      <w:start w:val="1"/>
      <w:numFmt w:val="decimal"/>
      <w:lvlText w:val="%1.%2.%3.%4."/>
      <w:lvlJc w:val="left"/>
      <w:pPr>
        <w:tabs>
          <w:tab w:val="num" w:pos="851"/>
        </w:tabs>
        <w:ind w:left="851" w:hanging="851"/>
      </w:pPr>
      <w:rPr>
        <w:rFonts w:ascii="Verdana" w:hAnsi="Verdana" w:cs="Times New Roman" w:hint="default"/>
        <w:sz w:val="22"/>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pPr>
      <w:rPr>
        <w:rFonts w:ascii="Verdana" w:hAnsi="Verdana" w:cs="Times New Roman" w:hint="default"/>
        <w:sz w:val="32"/>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cs="Times New Roman" w:hint="default"/>
        <w:sz w:val="22"/>
      </w:rPr>
    </w:lvl>
    <w:lvl w:ilvl="1">
      <w:start w:val="1"/>
      <w:numFmt w:val="none"/>
      <w:lvlText w:val=""/>
      <w:lvlJc w:val="left"/>
      <w:rPr>
        <w:rFonts w:cs="Times New Roman" w:hint="default"/>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cs="Times New Roman" w:hint="default"/>
        <w:sz w:val="16"/>
      </w:rPr>
    </w:lvl>
    <w:lvl w:ilvl="1">
      <w:start w:val="1"/>
      <w:numFmt w:val="none"/>
      <w:lvlRestart w:val="0"/>
      <w:lvlText w:val="%1."/>
      <w:lvlJc w:val="left"/>
      <w:pPr>
        <w:tabs>
          <w:tab w:val="num" w:pos="284"/>
        </w:tabs>
        <w:ind w:left="284" w:hanging="284"/>
      </w:pPr>
      <w:rPr>
        <w:rFonts w:ascii="Verdana" w:hAnsi="Verdana" w:cs="Times New Roman" w:hint="default"/>
        <w:b/>
        <w:i w:val="0"/>
        <w:sz w:val="16"/>
      </w:rPr>
    </w:lvl>
    <w:lvl w:ilvl="2">
      <w:start w:val="1"/>
      <w:numFmt w:val="none"/>
      <w:lvlText w:val=""/>
      <w:lvlJc w:val="left"/>
      <w:rPr>
        <w:rFonts w:cs="Times New Roman" w:hint="default"/>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cs="Times New Roman" w:hint="default"/>
        <w:b/>
        <w:i w:val="0"/>
        <w:sz w:val="22"/>
      </w:rPr>
    </w:lvl>
    <w:lvl w:ilvl="1">
      <w:start w:val="1"/>
      <w:numFmt w:val="decimal"/>
      <w:lvlText w:val="%1.%2"/>
      <w:lvlJc w:val="left"/>
      <w:pPr>
        <w:tabs>
          <w:tab w:val="num" w:pos="567"/>
        </w:tabs>
        <w:ind w:left="567" w:hanging="567"/>
      </w:pPr>
      <w:rPr>
        <w:rFonts w:ascii="Verdana" w:hAnsi="Verdana" w:cs="Times New Roman" w:hint="default"/>
        <w:b/>
        <w:i w:val="0"/>
        <w:sz w:val="19"/>
      </w:rPr>
    </w:lvl>
    <w:lvl w:ilvl="2">
      <w:start w:val="1"/>
      <w:numFmt w:val="decimal"/>
      <w:lvlText w:val="%1.%2.%3"/>
      <w:lvlJc w:val="left"/>
      <w:pPr>
        <w:tabs>
          <w:tab w:val="num" w:pos="567"/>
        </w:tabs>
        <w:ind w:left="567" w:hanging="567"/>
      </w:pPr>
      <w:rPr>
        <w:rFonts w:ascii="Verdana" w:hAnsi="Verdana" w:cs="Times New Roman" w:hint="default"/>
        <w:b/>
        <w:i w:val="0"/>
        <w:sz w:val="16"/>
      </w:rPr>
    </w:lvl>
    <w:lvl w:ilvl="3">
      <w:start w:val="1"/>
      <w:numFmt w:val="none"/>
      <w:lvlText w:val=""/>
      <w:lvlJc w:val="left"/>
      <w:rPr>
        <w:rFonts w:cs="Times New Roman" w:hint="default"/>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abstractNum w:abstractNumId="8">
    <w:nsid w:val="7FEA0A23"/>
    <w:multiLevelType w:val="multilevel"/>
    <w:tmpl w:val="CD7452BA"/>
    <w:lvl w:ilvl="0">
      <w:start w:val="1"/>
      <w:numFmt w:val="decimal"/>
      <w:lvlText w:val="%1"/>
      <w:lvlJc w:val="left"/>
      <w:pPr>
        <w:tabs>
          <w:tab w:val="num" w:pos="284"/>
        </w:tabs>
      </w:pPr>
      <w:rPr>
        <w:rFonts w:ascii="Verdana" w:hAnsi="Verdana" w:cs="Times New Roman" w:hint="default"/>
        <w:sz w:val="20"/>
      </w:rPr>
    </w:lvl>
    <w:lvl w:ilvl="1">
      <w:start w:val="1"/>
      <w:numFmt w:val="decimal"/>
      <w:lvlText w:val="%1.%2"/>
      <w:lvlJc w:val="left"/>
      <w:pPr>
        <w:tabs>
          <w:tab w:val="num" w:pos="567"/>
        </w:tabs>
      </w:pPr>
      <w:rPr>
        <w:rFonts w:ascii="Verdana" w:hAnsi="Verdana" w:cs="Times New Roman" w:hint="default"/>
        <w:sz w:val="20"/>
      </w:rPr>
    </w:lvl>
    <w:lvl w:ilvl="2">
      <w:start w:val="1"/>
      <w:numFmt w:val="decimal"/>
      <w:lvlText w:val="%1.%2.%3"/>
      <w:lvlJc w:val="left"/>
      <w:pPr>
        <w:tabs>
          <w:tab w:val="num" w:pos="851"/>
        </w:tabs>
      </w:pPr>
      <w:rPr>
        <w:rFonts w:ascii="Verdana" w:hAnsi="Verdana" w:cs="Times New Roman" w:hint="default"/>
        <w:sz w:val="20"/>
      </w:rPr>
    </w:lvl>
    <w:lvl w:ilvl="3">
      <w:start w:val="1"/>
      <w:numFmt w:val="decimal"/>
      <w:lvlText w:val="%1.%2.%3.%4"/>
      <w:lvlJc w:val="left"/>
      <w:pPr>
        <w:tabs>
          <w:tab w:val="num" w:pos="851"/>
        </w:tabs>
      </w:pPr>
      <w:rPr>
        <w:rFonts w:ascii="Verdana" w:hAnsi="Verdana" w:cs="Times New Roman" w:hint="default"/>
        <w:sz w:val="20"/>
      </w:rPr>
    </w:lvl>
    <w:lvl w:ilvl="4">
      <w:start w:val="1"/>
      <w:numFmt w:val="none"/>
      <w:lvlText w:val=""/>
      <w:lvlJc w:val="left"/>
      <w:rPr>
        <w:rFonts w:cs="Times New Roman" w:hint="default"/>
      </w:rPr>
    </w:lvl>
    <w:lvl w:ilvl="5">
      <w:start w:val="1"/>
      <w:numFmt w:val="none"/>
      <w:lvlText w:val=""/>
      <w:lvlJc w:val="left"/>
      <w:rPr>
        <w:rFonts w:cs="Times New Roman" w:hint="default"/>
      </w:rPr>
    </w:lvl>
    <w:lvl w:ilvl="6">
      <w:start w:val="1"/>
      <w:numFmt w:val="none"/>
      <w:lvlText w:val=""/>
      <w:lvlJc w:val="left"/>
      <w:rPr>
        <w:rFonts w:cs="Times New Roman" w:hint="default"/>
      </w:rPr>
    </w:lvl>
    <w:lvl w:ilvl="7">
      <w:start w:val="1"/>
      <w:numFmt w:val="none"/>
      <w:lvlText w:val=""/>
      <w:lvlJc w:val="left"/>
      <w:rPr>
        <w:rFonts w:cs="Times New Roman" w:hint="default"/>
      </w:rPr>
    </w:lvl>
    <w:lvl w:ilvl="8">
      <w:start w:val="1"/>
      <w:numFmt w:val="none"/>
      <w:lvlText w:val=""/>
      <w:lvlJc w:val="left"/>
      <w:rPr>
        <w:rFonts w:cs="Times New Roman"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0640A"/>
    <w:rsid w:val="00023E3A"/>
    <w:rsid w:val="0003485E"/>
    <w:rsid w:val="00042106"/>
    <w:rsid w:val="00046901"/>
    <w:rsid w:val="0005285B"/>
    <w:rsid w:val="00054842"/>
    <w:rsid w:val="00066BB1"/>
    <w:rsid w:val="00066D09"/>
    <w:rsid w:val="000708FF"/>
    <w:rsid w:val="000952D9"/>
    <w:rsid w:val="0009665C"/>
    <w:rsid w:val="00096EDE"/>
    <w:rsid w:val="000C2A03"/>
    <w:rsid w:val="000D02FB"/>
    <w:rsid w:val="000E3D83"/>
    <w:rsid w:val="00103205"/>
    <w:rsid w:val="0012026F"/>
    <w:rsid w:val="0012768E"/>
    <w:rsid w:val="00132055"/>
    <w:rsid w:val="0014683F"/>
    <w:rsid w:val="00151660"/>
    <w:rsid w:val="00156D2C"/>
    <w:rsid w:val="00162BE5"/>
    <w:rsid w:val="00175F80"/>
    <w:rsid w:val="00181182"/>
    <w:rsid w:val="001A1B3A"/>
    <w:rsid w:val="001A36FB"/>
    <w:rsid w:val="001B16BB"/>
    <w:rsid w:val="001B6194"/>
    <w:rsid w:val="001E573F"/>
    <w:rsid w:val="001E7D0C"/>
    <w:rsid w:val="0023049D"/>
    <w:rsid w:val="00232586"/>
    <w:rsid w:val="00240079"/>
    <w:rsid w:val="00242F03"/>
    <w:rsid w:val="00244981"/>
    <w:rsid w:val="002470AC"/>
    <w:rsid w:val="00253A2E"/>
    <w:rsid w:val="00263B25"/>
    <w:rsid w:val="00263EE3"/>
    <w:rsid w:val="002844EF"/>
    <w:rsid w:val="00293E7F"/>
    <w:rsid w:val="0029634D"/>
    <w:rsid w:val="002A05D7"/>
    <w:rsid w:val="002A2A9E"/>
    <w:rsid w:val="002B7A30"/>
    <w:rsid w:val="002D1A59"/>
    <w:rsid w:val="002D7A64"/>
    <w:rsid w:val="002E765F"/>
    <w:rsid w:val="002F08AC"/>
    <w:rsid w:val="002F108B"/>
    <w:rsid w:val="0034191A"/>
    <w:rsid w:val="00343CC7"/>
    <w:rsid w:val="003626EE"/>
    <w:rsid w:val="00366408"/>
    <w:rsid w:val="00376ABC"/>
    <w:rsid w:val="00384A08"/>
    <w:rsid w:val="00393694"/>
    <w:rsid w:val="003A753A"/>
    <w:rsid w:val="003B5CBB"/>
    <w:rsid w:val="003D1469"/>
    <w:rsid w:val="003E196A"/>
    <w:rsid w:val="003E1CB6"/>
    <w:rsid w:val="003E3CF6"/>
    <w:rsid w:val="003E5F93"/>
    <w:rsid w:val="003E67E2"/>
    <w:rsid w:val="003E759F"/>
    <w:rsid w:val="00403373"/>
    <w:rsid w:val="00406C81"/>
    <w:rsid w:val="00412545"/>
    <w:rsid w:val="00430BB0"/>
    <w:rsid w:val="00440FC7"/>
    <w:rsid w:val="004424A3"/>
    <w:rsid w:val="00460252"/>
    <w:rsid w:val="00463934"/>
    <w:rsid w:val="00463D7D"/>
    <w:rsid w:val="00470600"/>
    <w:rsid w:val="00476F4D"/>
    <w:rsid w:val="00493980"/>
    <w:rsid w:val="004C4D2B"/>
    <w:rsid w:val="004C58A4"/>
    <w:rsid w:val="004D12CD"/>
    <w:rsid w:val="004E2893"/>
    <w:rsid w:val="004F30A0"/>
    <w:rsid w:val="0050104F"/>
    <w:rsid w:val="00501385"/>
    <w:rsid w:val="00506409"/>
    <w:rsid w:val="00530E32"/>
    <w:rsid w:val="00542087"/>
    <w:rsid w:val="005704B6"/>
    <w:rsid w:val="005711A3"/>
    <w:rsid w:val="00573B2B"/>
    <w:rsid w:val="00576ED6"/>
    <w:rsid w:val="00591CFE"/>
    <w:rsid w:val="005A4F04"/>
    <w:rsid w:val="005B3697"/>
    <w:rsid w:val="005B5793"/>
    <w:rsid w:val="005C5E08"/>
    <w:rsid w:val="005E1209"/>
    <w:rsid w:val="0061094C"/>
    <w:rsid w:val="00623904"/>
    <w:rsid w:val="006330A2"/>
    <w:rsid w:val="00642EB6"/>
    <w:rsid w:val="00671A40"/>
    <w:rsid w:val="00690955"/>
    <w:rsid w:val="006A4AD3"/>
    <w:rsid w:val="006B73C9"/>
    <w:rsid w:val="006E1952"/>
    <w:rsid w:val="006F7602"/>
    <w:rsid w:val="00722A17"/>
    <w:rsid w:val="007364D2"/>
    <w:rsid w:val="00757B83"/>
    <w:rsid w:val="007618CE"/>
    <w:rsid w:val="007658CA"/>
    <w:rsid w:val="00791A69"/>
    <w:rsid w:val="00794830"/>
    <w:rsid w:val="007961E8"/>
    <w:rsid w:val="00797CAA"/>
    <w:rsid w:val="007B0444"/>
    <w:rsid w:val="007B3E6B"/>
    <w:rsid w:val="007C2658"/>
    <w:rsid w:val="007E20D0"/>
    <w:rsid w:val="007F0693"/>
    <w:rsid w:val="007F1FE9"/>
    <w:rsid w:val="007F4CBD"/>
    <w:rsid w:val="00806DBB"/>
    <w:rsid w:val="008131FE"/>
    <w:rsid w:val="00815A35"/>
    <w:rsid w:val="00820315"/>
    <w:rsid w:val="008270E8"/>
    <w:rsid w:val="00843B45"/>
    <w:rsid w:val="00863129"/>
    <w:rsid w:val="0088037A"/>
    <w:rsid w:val="00894512"/>
    <w:rsid w:val="008C2DB2"/>
    <w:rsid w:val="008D4AE7"/>
    <w:rsid w:val="008D770E"/>
    <w:rsid w:val="008E5729"/>
    <w:rsid w:val="008F04CD"/>
    <w:rsid w:val="00902893"/>
    <w:rsid w:val="0090337E"/>
    <w:rsid w:val="009567F3"/>
    <w:rsid w:val="00957F46"/>
    <w:rsid w:val="00980B0A"/>
    <w:rsid w:val="009A3EF3"/>
    <w:rsid w:val="009A7E90"/>
    <w:rsid w:val="009C2378"/>
    <w:rsid w:val="009D016F"/>
    <w:rsid w:val="009D1976"/>
    <w:rsid w:val="009E251D"/>
    <w:rsid w:val="009F681B"/>
    <w:rsid w:val="00A171F4"/>
    <w:rsid w:val="00A20F49"/>
    <w:rsid w:val="00A24EFC"/>
    <w:rsid w:val="00A44892"/>
    <w:rsid w:val="00A80F94"/>
    <w:rsid w:val="00A977CE"/>
    <w:rsid w:val="00AA587A"/>
    <w:rsid w:val="00AD131F"/>
    <w:rsid w:val="00AF3B3A"/>
    <w:rsid w:val="00AF6569"/>
    <w:rsid w:val="00B06265"/>
    <w:rsid w:val="00B242AE"/>
    <w:rsid w:val="00B5695F"/>
    <w:rsid w:val="00B75AA3"/>
    <w:rsid w:val="00B819DA"/>
    <w:rsid w:val="00B86738"/>
    <w:rsid w:val="00B90F78"/>
    <w:rsid w:val="00BA0262"/>
    <w:rsid w:val="00BB65BF"/>
    <w:rsid w:val="00BC2180"/>
    <w:rsid w:val="00BD1058"/>
    <w:rsid w:val="00BF2BA2"/>
    <w:rsid w:val="00BF56B2"/>
    <w:rsid w:val="00C0150E"/>
    <w:rsid w:val="00C03396"/>
    <w:rsid w:val="00C1451A"/>
    <w:rsid w:val="00C368DB"/>
    <w:rsid w:val="00C457C3"/>
    <w:rsid w:val="00C56511"/>
    <w:rsid w:val="00C644CA"/>
    <w:rsid w:val="00C64649"/>
    <w:rsid w:val="00C73005"/>
    <w:rsid w:val="00C9589F"/>
    <w:rsid w:val="00CE5103"/>
    <w:rsid w:val="00CF20D2"/>
    <w:rsid w:val="00CF36C9"/>
    <w:rsid w:val="00D00436"/>
    <w:rsid w:val="00D166AC"/>
    <w:rsid w:val="00D31B23"/>
    <w:rsid w:val="00D95E7C"/>
    <w:rsid w:val="00DA100A"/>
    <w:rsid w:val="00DB433A"/>
    <w:rsid w:val="00DB6C31"/>
    <w:rsid w:val="00E00EAE"/>
    <w:rsid w:val="00E14608"/>
    <w:rsid w:val="00E14EAF"/>
    <w:rsid w:val="00E21E67"/>
    <w:rsid w:val="00E30EBF"/>
    <w:rsid w:val="00E4342E"/>
    <w:rsid w:val="00E5208B"/>
    <w:rsid w:val="00E52D70"/>
    <w:rsid w:val="00E55534"/>
    <w:rsid w:val="00E56FDE"/>
    <w:rsid w:val="00E914D1"/>
    <w:rsid w:val="00ED33CA"/>
    <w:rsid w:val="00EF69DF"/>
    <w:rsid w:val="00F20920"/>
    <w:rsid w:val="00F32D4F"/>
    <w:rsid w:val="00F46EC2"/>
    <w:rsid w:val="00F46FFA"/>
    <w:rsid w:val="00F56318"/>
    <w:rsid w:val="00F62490"/>
    <w:rsid w:val="00F82525"/>
    <w:rsid w:val="00F97FEA"/>
    <w:rsid w:val="00FB2D29"/>
    <w:rsid w:val="00FC0439"/>
    <w:rsid w:val="00FC1BD4"/>
    <w:rsid w:val="00FC2D4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99"/>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tblStylePr w:type="firstRow">
      <w:pPr>
        <w:spacing w:beforeLines="40" w:beforeAutospacing="0" w:afterLines="40" w:afterAutospacing="0"/>
      </w:pPr>
      <w:rPr>
        <w:rFonts w:cs="Times New Roman"/>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rFonts w:cs="Times New Roman"/>
        <w:b/>
      </w:rPr>
      <w:tblPr/>
      <w:tcPr>
        <w:tcBorders>
          <w:top w:val="single" w:sz="4" w:space="0" w:color="41535D"/>
          <w:bottom w:val="single" w:sz="4" w:space="0" w:color="41535D"/>
        </w:tcBorders>
      </w:tcPr>
    </w:tblStyle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99"/>
    <w:rsid w:val="00D166AC"/>
    <w:rPr>
      <w:szCs w:val="20"/>
    </w:rPr>
  </w:style>
  <w:style w:type="paragraph" w:styleId="Kommentartext">
    <w:name w:val="annotation text"/>
    <w:basedOn w:val="Standard"/>
    <w:link w:val="KommentartextZchn"/>
    <w:uiPriority w:val="99"/>
    <w:semiHidden/>
    <w:rsid w:val="00E4342E"/>
    <w:pPr>
      <w:contextualSpacing/>
    </w:pPr>
    <w:rPr>
      <w:sz w:val="20"/>
      <w:szCs w:val="20"/>
    </w:rPr>
  </w:style>
  <w:style w:type="character" w:customStyle="1" w:styleId="KommentartextZchn">
    <w:name w:val="Kommentartext Zchn"/>
    <w:basedOn w:val="Absatz-Standardschriftart"/>
    <w:link w:val="Kommentartext"/>
    <w:uiPriority w:val="99"/>
    <w:semiHidden/>
    <w:locked/>
    <w:rsid w:val="00E4342E"/>
    <w:rPr>
      <w:rFonts w:ascii="Verdana" w:hAnsi="Verdana" w:cs="Times New Roman"/>
      <w:sz w:val="20"/>
      <w:szCs w:val="20"/>
    </w:rPr>
  </w:style>
  <w:style w:type="numbering" w:customStyle="1" w:styleId="zzzBulletpoints">
    <w:name w:val="zzz_Bulletpoints"/>
    <w:rsid w:val="00C67F9F"/>
    <w:pPr>
      <w:numPr>
        <w:numId w:val="22"/>
      </w:numPr>
    </w:pPr>
  </w:style>
  <w:style w:type="numbering" w:customStyle="1" w:styleId="zzzThemen">
    <w:name w:val="zzz_Themen"/>
    <w:rsid w:val="00C67F9F"/>
    <w:pPr>
      <w:numPr>
        <w:numId w:val="18"/>
      </w:numPr>
    </w:pPr>
  </w:style>
  <w:style w:type="numbering" w:customStyle="1" w:styleId="zzzNummerierung">
    <w:name w:val="zzz_Nummerierung"/>
    <w:rsid w:val="00C67F9F"/>
    <w:pPr>
      <w:numPr>
        <w:numId w:val="24"/>
      </w:numPr>
    </w:pPr>
  </w:style>
  <w:style w:type="numbering" w:customStyle="1" w:styleId="zzzHeadlines">
    <w:name w:val="zzz_Headlines"/>
    <w:rsid w:val="00C67F9F"/>
    <w:pPr>
      <w:numPr>
        <w:numId w:val="20"/>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Standard">
    <w:name w:val="Normal"/>
    <w:qFormat/>
    <w:rsid w:val="00B5695F"/>
    <w:rPr>
      <w:sz w:val="16"/>
      <w:szCs w:val="16"/>
      <w:lang w:val="fr-FR" w:eastAsia="en-US"/>
    </w:rPr>
  </w:style>
  <w:style w:type="paragraph" w:styleId="berschrift1">
    <w:name w:val="heading 1"/>
    <w:basedOn w:val="Standard"/>
    <w:next w:val="Text"/>
    <w:link w:val="berschrift1Zchn"/>
    <w:uiPriority w:val="99"/>
    <w:qFormat/>
    <w:rsid w:val="00A171F4"/>
    <w:pPr>
      <w:keepNext/>
      <w:keepLines/>
      <w:spacing w:before="120" w:after="120" w:line="440" w:lineRule="exact"/>
      <w:jc w:val="both"/>
      <w:outlineLvl w:val="0"/>
    </w:pPr>
    <w:rPr>
      <w:rFonts w:eastAsia="Times New Roman"/>
      <w:b/>
      <w:sz w:val="40"/>
      <w:szCs w:val="32"/>
    </w:rPr>
  </w:style>
  <w:style w:type="paragraph" w:styleId="berschrift2">
    <w:name w:val="heading 2"/>
    <w:basedOn w:val="Standard"/>
    <w:next w:val="Text"/>
    <w:link w:val="berschrift2Zchn"/>
    <w:uiPriority w:val="99"/>
    <w:qFormat/>
    <w:rsid w:val="002E765F"/>
    <w:pPr>
      <w:keepNext/>
      <w:keepLines/>
      <w:spacing w:before="120" w:after="120" w:line="260" w:lineRule="exact"/>
      <w:jc w:val="both"/>
      <w:outlineLvl w:val="1"/>
    </w:pPr>
    <w:rPr>
      <w:rFonts w:eastAsia="Times New Roman"/>
      <w:b/>
      <w:sz w:val="22"/>
      <w:szCs w:val="26"/>
    </w:rPr>
  </w:style>
  <w:style w:type="paragraph" w:styleId="berschrift3">
    <w:name w:val="heading 3"/>
    <w:basedOn w:val="Standard"/>
    <w:next w:val="Text"/>
    <w:link w:val="berschrift3Zchn"/>
    <w:uiPriority w:val="99"/>
    <w:qFormat/>
    <w:rsid w:val="002E765F"/>
    <w:pPr>
      <w:keepNext/>
      <w:keepLines/>
      <w:spacing w:before="120" w:after="120" w:line="240" w:lineRule="exact"/>
      <w:jc w:val="both"/>
      <w:outlineLvl w:val="2"/>
    </w:pPr>
    <w:rPr>
      <w:rFonts w:eastAsia="Times New Roman"/>
      <w:b/>
      <w:sz w:val="20"/>
      <w:szCs w:val="24"/>
    </w:rPr>
  </w:style>
  <w:style w:type="paragraph" w:styleId="berschrift4">
    <w:name w:val="heading 4"/>
    <w:basedOn w:val="Standard"/>
    <w:next w:val="Text"/>
    <w:link w:val="berschrift4Zchn"/>
    <w:uiPriority w:val="99"/>
    <w:qFormat/>
    <w:rsid w:val="002E765F"/>
    <w:pPr>
      <w:keepNext/>
      <w:keepLines/>
      <w:spacing w:before="120" w:after="120" w:line="220" w:lineRule="exact"/>
      <w:jc w:val="both"/>
      <w:outlineLvl w:val="3"/>
    </w:pPr>
    <w:rPr>
      <w:rFonts w:eastAsia="Times New Roman"/>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9"/>
    <w:locked/>
    <w:rsid w:val="00A171F4"/>
    <w:rPr>
      <w:rFonts w:eastAsia="Times New Roman" w:cs="Times New Roman"/>
      <w:b/>
      <w:sz w:val="32"/>
      <w:szCs w:val="32"/>
    </w:rPr>
  </w:style>
  <w:style w:type="character" w:customStyle="1" w:styleId="berschrift2Zchn">
    <w:name w:val="Überschrift 2 Zchn"/>
    <w:basedOn w:val="Absatz-Standardschriftart"/>
    <w:link w:val="berschrift2"/>
    <w:uiPriority w:val="99"/>
    <w:locked/>
    <w:rsid w:val="002E765F"/>
    <w:rPr>
      <w:rFonts w:ascii="Verdana" w:hAnsi="Verdana" w:cs="Times New Roman"/>
      <w:b/>
      <w:sz w:val="26"/>
      <w:szCs w:val="26"/>
    </w:rPr>
  </w:style>
  <w:style w:type="character" w:customStyle="1" w:styleId="berschrift3Zchn">
    <w:name w:val="Überschrift 3 Zchn"/>
    <w:basedOn w:val="Absatz-Standardschriftart"/>
    <w:link w:val="berschrift3"/>
    <w:uiPriority w:val="99"/>
    <w:locked/>
    <w:rsid w:val="002E765F"/>
    <w:rPr>
      <w:rFonts w:ascii="Verdana" w:hAnsi="Verdana" w:cs="Times New Roman"/>
      <w:b/>
      <w:sz w:val="24"/>
      <w:szCs w:val="24"/>
    </w:rPr>
  </w:style>
  <w:style w:type="character" w:customStyle="1" w:styleId="berschrift4Zchn">
    <w:name w:val="Überschrift 4 Zchn"/>
    <w:basedOn w:val="Absatz-Standardschriftart"/>
    <w:link w:val="berschrift4"/>
    <w:uiPriority w:val="99"/>
    <w:locked/>
    <w:rsid w:val="002E765F"/>
    <w:rPr>
      <w:rFonts w:ascii="Verdana" w:hAnsi="Verdana" w:cs="Times New Roman"/>
      <w:iCs/>
      <w:sz w:val="20"/>
      <w:szCs w:val="20"/>
    </w:rPr>
  </w:style>
  <w:style w:type="table" w:customStyle="1" w:styleId="Basic">
    <w:name w:val="Basic"/>
    <w:uiPriority w:val="99"/>
    <w:rsid w:val="008C2DB2"/>
    <w:rPr>
      <w:sz w:val="20"/>
      <w:szCs w:val="20"/>
    </w:rPr>
    <w:tblPr>
      <w:tblInd w:w="0" w:type="dxa"/>
      <w:tblCellMar>
        <w:top w:w="0" w:type="dxa"/>
        <w:left w:w="0" w:type="dxa"/>
        <w:bottom w:w="0" w:type="dxa"/>
        <w:right w:w="0" w:type="dxa"/>
      </w:tblCellMar>
    </w:tblPr>
    <w:tblStylePr w:type="firstRow">
      <w:pPr>
        <w:spacing w:beforeLines="0" w:beforeAutospacing="0" w:afterLines="0" w:afterAutospacing="0"/>
      </w:pPr>
      <w:rPr>
        <w:rFonts w:cs="Times New Roman"/>
      </w:rPr>
    </w:tblStylePr>
  </w:style>
  <w:style w:type="paragraph" w:styleId="Kopfzeile">
    <w:name w:val="header"/>
    <w:basedOn w:val="Standard"/>
    <w:link w:val="KopfzeileZchn"/>
    <w:uiPriority w:val="99"/>
    <w:rsid w:val="00E55534"/>
    <w:pPr>
      <w:tabs>
        <w:tab w:val="center" w:pos="4513"/>
        <w:tab w:val="right" w:pos="9026"/>
      </w:tabs>
    </w:pPr>
  </w:style>
  <w:style w:type="character" w:customStyle="1" w:styleId="KopfzeileZchn">
    <w:name w:val="Kopfzeile Zchn"/>
    <w:basedOn w:val="Absatz-Standardschriftart"/>
    <w:link w:val="Kopfzeile"/>
    <w:uiPriority w:val="99"/>
    <w:locked/>
    <w:rsid w:val="00E55534"/>
    <w:rPr>
      <w:rFonts w:cs="Times New Roman"/>
    </w:rPr>
  </w:style>
  <w:style w:type="paragraph" w:styleId="Fuzeile">
    <w:name w:val="footer"/>
    <w:basedOn w:val="Standard"/>
    <w:link w:val="FuzeileZchn"/>
    <w:uiPriority w:val="99"/>
    <w:rsid w:val="00642EB6"/>
    <w:rPr>
      <w:color w:val="41535D"/>
      <w:sz w:val="18"/>
    </w:rPr>
  </w:style>
  <w:style w:type="character" w:customStyle="1" w:styleId="FuzeileZchn">
    <w:name w:val="Fußzeile Zchn"/>
    <w:basedOn w:val="Absatz-Standardschriftart"/>
    <w:link w:val="Fuzeile"/>
    <w:uiPriority w:val="99"/>
    <w:locked/>
    <w:rsid w:val="00642EB6"/>
    <w:rPr>
      <w:rFonts w:cs="Times New Roman"/>
      <w:color w:val="41535D"/>
      <w:sz w:val="18"/>
    </w:rPr>
  </w:style>
  <w:style w:type="paragraph" w:styleId="Sprechblasentext">
    <w:name w:val="Balloon Text"/>
    <w:basedOn w:val="Standard"/>
    <w:link w:val="SprechblasentextZchn"/>
    <w:uiPriority w:val="99"/>
    <w:semiHidden/>
    <w:rsid w:val="00E55534"/>
    <w:rPr>
      <w:rFonts w:ascii="Tahoma" w:hAnsi="Tahoma" w:cs="Tahoma"/>
    </w:rPr>
  </w:style>
  <w:style w:type="character" w:customStyle="1" w:styleId="SprechblasentextZchn">
    <w:name w:val="Sprechblasentext Zchn"/>
    <w:basedOn w:val="Absatz-Standardschriftart"/>
    <w:link w:val="Sprechblasentext"/>
    <w:uiPriority w:val="99"/>
    <w:semiHidden/>
    <w:locked/>
    <w:rsid w:val="00E55534"/>
    <w:rPr>
      <w:rFonts w:ascii="Tahoma" w:hAnsi="Tahoma" w:cs="Tahoma"/>
      <w:sz w:val="16"/>
      <w:szCs w:val="16"/>
    </w:rPr>
  </w:style>
  <w:style w:type="table" w:styleId="Tabellenraster">
    <w:name w:val="Table Grid"/>
    <w:basedOn w:val="NormaleTabelle"/>
    <w:uiPriority w:val="99"/>
    <w:rsid w:val="00E555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99"/>
    <w:qFormat/>
    <w:rsid w:val="00843B45"/>
    <w:pPr>
      <w:spacing w:line="600" w:lineRule="exact"/>
      <w:contextualSpacing/>
    </w:pPr>
    <w:rPr>
      <w:rFonts w:eastAsia="Times New Roman"/>
      <w:b/>
      <w:color w:val="5C666F"/>
      <w:sz w:val="40"/>
      <w:szCs w:val="52"/>
    </w:rPr>
  </w:style>
  <w:style w:type="character" w:customStyle="1" w:styleId="TitelZchn">
    <w:name w:val="Titel Zchn"/>
    <w:basedOn w:val="Absatz-Standardschriftart"/>
    <w:link w:val="Titel"/>
    <w:uiPriority w:val="99"/>
    <w:locked/>
    <w:rsid w:val="00843B45"/>
    <w:rPr>
      <w:rFonts w:ascii="Verdana" w:hAnsi="Verdana" w:cs="Times New Roman"/>
      <w:b/>
      <w:color w:val="5C666F"/>
      <w:sz w:val="52"/>
      <w:szCs w:val="52"/>
    </w:rPr>
  </w:style>
  <w:style w:type="character" w:styleId="Hervorhebung">
    <w:name w:val="Emphasis"/>
    <w:basedOn w:val="Absatz-Standardschriftart"/>
    <w:uiPriority w:val="99"/>
    <w:qFormat/>
    <w:rsid w:val="003E1CB6"/>
    <w:rPr>
      <w:rFonts w:cs="Times New Roman"/>
      <w:b/>
      <w:iCs/>
    </w:rPr>
  </w:style>
  <w:style w:type="paragraph" w:styleId="Untertitel">
    <w:name w:val="Subtitle"/>
    <w:basedOn w:val="Standard"/>
    <w:link w:val="UntertitelZchn"/>
    <w:uiPriority w:val="99"/>
    <w:qFormat/>
    <w:rsid w:val="00843B45"/>
    <w:pPr>
      <w:numPr>
        <w:ilvl w:val="1"/>
      </w:numPr>
      <w:spacing w:line="520" w:lineRule="atLeast"/>
    </w:pPr>
    <w:rPr>
      <w:rFonts w:eastAsia="Times New Roman"/>
      <w:iCs/>
      <w:color w:val="5C666F"/>
      <w:sz w:val="32"/>
      <w:szCs w:val="24"/>
    </w:rPr>
  </w:style>
  <w:style w:type="character" w:customStyle="1" w:styleId="UntertitelZchn">
    <w:name w:val="Untertitel Zchn"/>
    <w:basedOn w:val="Absatz-Standardschriftart"/>
    <w:link w:val="Untertitel"/>
    <w:uiPriority w:val="99"/>
    <w:locked/>
    <w:rsid w:val="00843B45"/>
    <w:rPr>
      <w:rFonts w:ascii="Verdana" w:hAnsi="Verdana" w:cs="Times New Roman"/>
      <w:iCs/>
      <w:color w:val="5C666F"/>
      <w:sz w:val="24"/>
      <w:szCs w:val="24"/>
    </w:rPr>
  </w:style>
  <w:style w:type="paragraph" w:customStyle="1" w:styleId="Themen">
    <w:name w:val="Themen"/>
    <w:basedOn w:val="Standard"/>
    <w:uiPriority w:val="99"/>
    <w:rsid w:val="00403373"/>
    <w:pPr>
      <w:numPr>
        <w:numId w:val="18"/>
      </w:numPr>
      <w:spacing w:after="60" w:line="360" w:lineRule="exact"/>
    </w:pPr>
    <w:rPr>
      <w:b/>
      <w:sz w:val="24"/>
    </w:rPr>
  </w:style>
  <w:style w:type="paragraph" w:styleId="Listenabsatz">
    <w:name w:val="List Paragraph"/>
    <w:basedOn w:val="Standard"/>
    <w:uiPriority w:val="99"/>
    <w:qFormat/>
    <w:rsid w:val="003E1CB6"/>
    <w:pPr>
      <w:ind w:left="720"/>
      <w:contextualSpacing/>
    </w:pPr>
  </w:style>
  <w:style w:type="paragraph" w:customStyle="1" w:styleId="Kolumnentitel">
    <w:name w:val="Kolumnentitel"/>
    <w:basedOn w:val="Standard"/>
    <w:uiPriority w:val="99"/>
    <w:rsid w:val="00B90F78"/>
    <w:rPr>
      <w:caps/>
      <w:sz w:val="14"/>
    </w:rPr>
  </w:style>
  <w:style w:type="paragraph" w:customStyle="1" w:styleId="Seitenzahlen">
    <w:name w:val="Seitenzahlen"/>
    <w:basedOn w:val="Standard"/>
    <w:uiPriority w:val="99"/>
    <w:rsid w:val="00722A17"/>
    <w:pPr>
      <w:jc w:val="right"/>
    </w:pPr>
    <w:rPr>
      <w:caps/>
      <w:sz w:val="14"/>
    </w:rPr>
  </w:style>
  <w:style w:type="character" w:styleId="Seitenzahl">
    <w:name w:val="page number"/>
    <w:basedOn w:val="Absatz-Standardschriftart"/>
    <w:uiPriority w:val="99"/>
    <w:semiHidden/>
    <w:rsid w:val="007E20D0"/>
    <w:rPr>
      <w:rFonts w:ascii="Times New Roman" w:hAnsi="Times New Roman" w:cs="Times New Roman"/>
    </w:rPr>
  </w:style>
  <w:style w:type="paragraph" w:customStyle="1" w:styleId="Text">
    <w:name w:val="Text"/>
    <w:basedOn w:val="Standard"/>
    <w:uiPriority w:val="99"/>
    <w:rsid w:val="00A171F4"/>
    <w:pPr>
      <w:spacing w:line="280" w:lineRule="atLeast"/>
      <w:jc w:val="both"/>
    </w:pPr>
    <w:rPr>
      <w:sz w:val="22"/>
    </w:rPr>
  </w:style>
  <w:style w:type="character" w:styleId="SchwacheHervorhebung">
    <w:name w:val="Subtle Emphasis"/>
    <w:basedOn w:val="Absatz-Standardschriftart"/>
    <w:uiPriority w:val="99"/>
    <w:qFormat/>
    <w:rsid w:val="006F7602"/>
    <w:rPr>
      <w:rFonts w:cs="Times New Roman"/>
      <w:i/>
      <w:iCs/>
      <w:color w:val="auto"/>
    </w:rPr>
  </w:style>
  <w:style w:type="paragraph" w:customStyle="1" w:styleId="Bulletpoint1">
    <w:name w:val="Bulletpoint 1"/>
    <w:basedOn w:val="Standard"/>
    <w:uiPriority w:val="99"/>
    <w:rsid w:val="00B5695F"/>
    <w:pPr>
      <w:numPr>
        <w:numId w:val="22"/>
      </w:numPr>
      <w:spacing w:after="120" w:line="280" w:lineRule="atLeast"/>
      <w:contextualSpacing/>
    </w:pPr>
    <w:rPr>
      <w:sz w:val="22"/>
    </w:rPr>
  </w:style>
  <w:style w:type="paragraph" w:customStyle="1" w:styleId="Bulletpoint2">
    <w:name w:val="Bulletpoint 2"/>
    <w:basedOn w:val="Standard"/>
    <w:uiPriority w:val="99"/>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99"/>
    <w:rsid w:val="00B5695F"/>
    <w:pPr>
      <w:numPr>
        <w:ilvl w:val="2"/>
        <w:numId w:val="22"/>
      </w:numPr>
      <w:spacing w:after="120" w:line="280" w:lineRule="atLeast"/>
      <w:contextualSpacing/>
    </w:pPr>
    <w:rPr>
      <w:sz w:val="22"/>
    </w:rPr>
  </w:style>
  <w:style w:type="paragraph" w:customStyle="1" w:styleId="Nummerrierung">
    <w:name w:val="Nummerrierung"/>
    <w:basedOn w:val="Standard"/>
    <w:uiPriority w:val="99"/>
    <w:rsid w:val="008D770E"/>
    <w:pPr>
      <w:numPr>
        <w:numId w:val="24"/>
      </w:numPr>
      <w:spacing w:after="120"/>
    </w:pPr>
    <w:rPr>
      <w:sz w:val="18"/>
    </w:rPr>
  </w:style>
  <w:style w:type="paragraph" w:customStyle="1" w:styleId="NummerrierungFett">
    <w:name w:val="Nummerrierung Fett"/>
    <w:basedOn w:val="Nummerrierung"/>
    <w:uiPriority w:val="99"/>
    <w:rsid w:val="00506409"/>
    <w:rPr>
      <w:b/>
    </w:rPr>
  </w:style>
  <w:style w:type="table" w:customStyle="1" w:styleId="Wirtgen">
    <w:name w:val="Wirtgen"/>
    <w:uiPriority w:val="99"/>
    <w:rsid w:val="008D770E"/>
    <w:pPr>
      <w:spacing w:before="60" w:after="60" w:line="220" w:lineRule="atLeast"/>
    </w:pPr>
    <w:rPr>
      <w:sz w:val="18"/>
      <w:szCs w:val="20"/>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top w:w="0" w:type="dxa"/>
        <w:left w:w="85" w:type="dxa"/>
        <w:bottom w:w="0" w:type="dxa"/>
        <w:right w:w="85" w:type="dxa"/>
      </w:tblCellMar>
    </w:tblPr>
    <w:tblStylePr w:type="firstRow">
      <w:pPr>
        <w:spacing w:beforeLines="40" w:beforeAutospacing="0" w:afterLines="40" w:afterAutospacing="0"/>
      </w:pPr>
      <w:rPr>
        <w:rFonts w:cs="Times New Roman"/>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rFonts w:cs="Times New Roman"/>
        <w:b/>
      </w:rPr>
      <w:tblPr/>
      <w:tcPr>
        <w:tcBorders>
          <w:top w:val="single" w:sz="4" w:space="0" w:color="41535D"/>
          <w:bottom w:val="single" w:sz="4" w:space="0" w:color="41535D"/>
        </w:tcBorders>
      </w:tcPr>
    </w:tblStylePr>
  </w:style>
  <w:style w:type="paragraph" w:customStyle="1" w:styleId="TextBlocksatz">
    <w:name w:val="Text Blocksatz"/>
    <w:basedOn w:val="Text"/>
    <w:uiPriority w:val="99"/>
    <w:rsid w:val="00A171F4"/>
  </w:style>
  <w:style w:type="paragraph" w:styleId="Beschriftung">
    <w:name w:val="caption"/>
    <w:basedOn w:val="Standard"/>
    <w:next w:val="Standard"/>
    <w:uiPriority w:val="99"/>
    <w:qFormat/>
    <w:rsid w:val="001B16BB"/>
    <w:pPr>
      <w:spacing w:before="120" w:after="120"/>
    </w:pPr>
    <w:rPr>
      <w:bCs/>
      <w:color w:val="41535D"/>
      <w:szCs w:val="18"/>
    </w:rPr>
  </w:style>
  <w:style w:type="paragraph" w:styleId="Inhaltsverzeichnisberschrift">
    <w:name w:val="TOC Heading"/>
    <w:basedOn w:val="berschrift1"/>
    <w:next w:val="Standard"/>
    <w:uiPriority w:val="99"/>
    <w:qFormat/>
    <w:rsid w:val="00BD1058"/>
    <w:pPr>
      <w:spacing w:line="240" w:lineRule="auto"/>
      <w:outlineLvl w:val="9"/>
    </w:pPr>
    <w:rPr>
      <w:bCs/>
      <w:szCs w:val="28"/>
      <w:lang w:eastAsia="de-DE"/>
    </w:rPr>
  </w:style>
  <w:style w:type="paragraph" w:styleId="Verzeichnis1">
    <w:name w:val="toc 1"/>
    <w:basedOn w:val="Standard"/>
    <w:next w:val="Standard"/>
    <w:autoRedefine/>
    <w:uiPriority w:val="99"/>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99"/>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99"/>
    <w:rsid w:val="00C457C3"/>
    <w:pPr>
      <w:tabs>
        <w:tab w:val="left" w:pos="964"/>
        <w:tab w:val="right" w:leader="dot" w:pos="9514"/>
      </w:tabs>
      <w:spacing w:after="100"/>
      <w:ind w:left="964" w:hanging="510"/>
    </w:pPr>
  </w:style>
  <w:style w:type="character" w:styleId="Hyperlink">
    <w:name w:val="Hyperlink"/>
    <w:basedOn w:val="Absatz-Standardschriftart"/>
    <w:uiPriority w:val="99"/>
    <w:rsid w:val="00BD1058"/>
    <w:rPr>
      <w:rFonts w:cs="Times New Roman"/>
      <w:color w:val="41535D"/>
      <w:u w:val="single"/>
    </w:rPr>
  </w:style>
  <w:style w:type="character" w:styleId="Platzhaltertext">
    <w:name w:val="Placeholder Text"/>
    <w:basedOn w:val="Absatz-Standardschriftart"/>
    <w:uiPriority w:val="99"/>
    <w:semiHidden/>
    <w:rsid w:val="00FF52AE"/>
    <w:rPr>
      <w:rFonts w:cs="Times New Roman"/>
      <w:color w:val="808080"/>
    </w:rPr>
  </w:style>
  <w:style w:type="paragraph" w:customStyle="1" w:styleId="HeadlineFotos">
    <w:name w:val="Headline Fotos"/>
    <w:basedOn w:val="Standard"/>
    <w:next w:val="Text"/>
    <w:uiPriority w:val="99"/>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99"/>
    <w:rsid w:val="00D166AC"/>
    <w:rPr>
      <w:szCs w:val="20"/>
    </w:rPr>
  </w:style>
  <w:style w:type="paragraph" w:styleId="Kommentartext">
    <w:name w:val="annotation text"/>
    <w:basedOn w:val="Standard"/>
    <w:link w:val="KommentartextZchn"/>
    <w:uiPriority w:val="99"/>
    <w:semiHidden/>
    <w:rsid w:val="00E4342E"/>
    <w:pPr>
      <w:contextualSpacing/>
    </w:pPr>
    <w:rPr>
      <w:sz w:val="20"/>
      <w:szCs w:val="20"/>
    </w:rPr>
  </w:style>
  <w:style w:type="character" w:customStyle="1" w:styleId="KommentartextZchn">
    <w:name w:val="Kommentartext Zchn"/>
    <w:basedOn w:val="Absatz-Standardschriftart"/>
    <w:link w:val="Kommentartext"/>
    <w:uiPriority w:val="99"/>
    <w:semiHidden/>
    <w:locked/>
    <w:rsid w:val="00E4342E"/>
    <w:rPr>
      <w:rFonts w:ascii="Verdana" w:hAnsi="Verdana" w:cs="Times New Roman"/>
      <w:sz w:val="20"/>
      <w:szCs w:val="20"/>
    </w:rPr>
  </w:style>
  <w:style w:type="numbering" w:customStyle="1" w:styleId="zzzBulletpoints">
    <w:name w:val="zzz_Bulletpoints"/>
    <w:rsid w:val="00C67F9F"/>
    <w:pPr>
      <w:numPr>
        <w:numId w:val="22"/>
      </w:numPr>
    </w:pPr>
  </w:style>
  <w:style w:type="numbering" w:customStyle="1" w:styleId="zzzThemen">
    <w:name w:val="zzz_Themen"/>
    <w:rsid w:val="00C67F9F"/>
    <w:pPr>
      <w:numPr>
        <w:numId w:val="18"/>
      </w:numPr>
    </w:pPr>
  </w:style>
  <w:style w:type="numbering" w:customStyle="1" w:styleId="zzzNummerierung">
    <w:name w:val="zzz_Nummerierung"/>
    <w:rsid w:val="00C67F9F"/>
    <w:pPr>
      <w:numPr>
        <w:numId w:val="24"/>
      </w:numPr>
    </w:pPr>
  </w:style>
  <w:style w:type="numbering" w:customStyle="1" w:styleId="zzzHeadlines">
    <w:name w:val="zzz_Headlines"/>
    <w:rsid w:val="00C67F9F"/>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780</Words>
  <Characters>4920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WIRTGEN SP 62 i : machine à coffrage glissant rentable en version deux trains de chenilles pour la pose de béton Inset</vt:lpstr>
    </vt:vector>
  </TitlesOfParts>
  <Company>Wirtgen GmbH</Company>
  <LinksUpToDate>false</LinksUpToDate>
  <CharactersWithSpaces>5689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WIRTGEN SP 62 i : machine à coffrage glissant rentable en version deux trains de chenilles pour la pose de béton Inset</dc:title>
  <dc:creator>Schüler Angelika</dc:creator>
  <cp:lastModifiedBy>Linnemann Mario</cp:lastModifiedBy>
  <cp:revision>2</cp:revision>
  <dcterms:created xsi:type="dcterms:W3CDTF">2017-12-01T15:01:00Z</dcterms:created>
  <dcterms:modified xsi:type="dcterms:W3CDTF">2017-12-01T15:01:00Z</dcterms:modified>
</cp:coreProperties>
</file>